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86b5c4df3ba6e19a7a45c3d40cf4a16c8c24bda"/>
    <w:p>
      <w:pPr>
        <w:pStyle w:val="Heading1"/>
        <w:keepNext/>
      </w:pPr>
      <w:r>
        <w:rPr>
          <w:rFonts w:ascii="Times New Roman" w:hAnsi="Times New Roman" w:eastAsia="Times New Roman"/>
        </w:rPr>
        <w:t xml:space="preserve">43. Исковое заявление о взыскании двойной суммы задатка</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Покупатель - Смирнов Дмитрий Олегович; продавец доли - Кузнецов Павел Игоревич; сособственник - Кузнецова Елена Павловна.</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1/2 доли в праве собственности на квартиру площадью 72,8 кв. м по адресу: г. Москва, ул. Академика Янгеля, д. 12, кв. 83, кадастровый номер 77:05:0008004:6231.</w:t>
      </w:r>
    </w:p>
    <w:p>
      <w:pPr>
        <w:pStyle w:val="BodyText"/>
      </w:pPr>
      <w:r>
        <w:rPr>
          <w:rFonts w:ascii="Times New Roman" w:hAnsi="Times New Roman" w:eastAsia="Times New Roman"/>
        </w:rPr>
        <w:t xml:space="preserve">Платеж 500 000 руб. прямо засчитывается в цену, подтверждает заключение соглашения и обеспечивает обязанность заключить основной договор. Документ различает последствия отказа продавца, отказа покупателя и прекращения обязательства по независящим от сторон обстоятельствам.</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[наименование районного суда]</w:t>
      </w:r>
    </w:p>
    <w:p>
      <w:pPr>
        <w:pStyle w:val="BodyText"/>
      </w:pPr>
      <w:r>
        <w:rPr>
          <w:rFonts w:ascii="Times New Roman" w:hAnsi="Times New Roman" w:eastAsia="Times New Roman"/>
        </w:rPr>
        <w:t xml:space="preserve">Истец / административный истец: [ФИО, дата и место рождения, адрес, идентификатор, телефон, e-mail]</w:t>
      </w:r>
      <w:r>
        <w:rPr>
          <w:rFonts w:ascii="Times New Roman" w:hAnsi="Times New Roman" w:eastAsia="Times New Roman"/>
        </w:rPr>
        <w:t xml:space="preserve"> </w:t>
      </w:r>
      <w:r>
        <w:rPr>
          <w:rFonts w:ascii="Times New Roman" w:hAnsi="Times New Roman" w:eastAsia="Times New Roman"/>
        </w:rPr>
        <w:t xml:space="preserve">Ответчик / административный ответчик: [ФИО или наименование, адрес, известные идентификаторы]</w:t>
      </w:r>
      <w:r>
        <w:rPr>
          <w:rFonts w:ascii="Times New Roman" w:hAnsi="Times New Roman" w:eastAsia="Times New Roman"/>
        </w:rPr>
        <w:t xml:space="preserve"> </w:t>
      </w:r>
      <w:r>
        <w:rPr>
          <w:rFonts w:ascii="Times New Roman" w:hAnsi="Times New Roman" w:eastAsia="Times New Roman"/>
        </w:rPr>
        <w:t xml:space="preserve">Третьи лица: [Управление Росреестра, орган местного самоуправления, иные лица]</w:t>
      </w:r>
      <w:r>
        <w:rPr>
          <w:rFonts w:ascii="Times New Roman" w:hAnsi="Times New Roman" w:eastAsia="Times New Roman"/>
        </w:rPr>
        <w:t xml:space="preserve"> </w:t>
      </w:r>
      <w:r>
        <w:rPr>
          <w:rFonts w:ascii="Times New Roman" w:hAnsi="Times New Roman" w:eastAsia="Times New Roman"/>
        </w:rPr>
        <w:t xml:space="preserve">Цена иска: [сумма, если требование подлежит оценке]</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p>
    <w:bookmarkEnd w:id="22"/>
    <w:bookmarkStart w:id="27" w:name="Xb7385b8025a289f01e81fb2cd6f17db0f27dd4c"/>
    <w:p>
      <w:pPr>
        <w:pStyle w:val="Heading2"/>
        <w:keepNext/>
      </w:pPr>
      <w:r>
        <w:rPr>
          <w:rFonts w:ascii="Times New Roman" w:hAnsi="Times New Roman" w:eastAsia="Times New Roman"/>
        </w:rPr>
        <w:t xml:space="preserve">ИСКОВОЕ ЗАЯВЛЕНИЕ О ВЗЫСКАНИИ ДВОЙНОЙ СУММЫ ЗАДАТКА</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Платеж 500 000 руб. прямо засчитывается в цену, подтверждает заключение соглашения и обеспечивает обязанность заключить основной договор. Документ различает последствия отказа продавца, отказа покупателя и прекращения обязательства по независящим от сторон обстоятельствам.</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статьи 158-165, 309, 310, 431.2, 450, 450.1 и 453 ГК РФ.</w:t>
      </w:r>
    </w:p>
    <w:p>
      <w:pPr>
        <w:pStyle w:val="Compact"/>
        <w:numPr>
          <w:ilvl w:val="0"/>
          <w:numId w:val="1001"/>
        </w:numPr>
      </w:pPr>
      <w:r>
        <w:rPr>
          <w:rFonts w:ascii="Times New Roman" w:hAnsi="Times New Roman" w:eastAsia="Times New Roman"/>
        </w:rPr>
        <w:t xml:space="preserve">статьи 549-558 ГК РФ о продаже недвижимости.</w:t>
      </w:r>
    </w:p>
    <w:p>
      <w:pPr>
        <w:pStyle w:val="Compact"/>
        <w:numPr>
          <w:ilvl w:val="0"/>
          <w:numId w:val="1001"/>
        </w:numPr>
      </w:pPr>
      <w:r>
        <w:rPr>
          <w:rFonts w:ascii="Times New Roman" w:hAnsi="Times New Roman" w:eastAsia="Times New Roman"/>
        </w:rPr>
        <w:t xml:space="preserve">Федеральный закон № 218-ФЗ.</w:t>
      </w:r>
    </w:p>
    <w:p>
      <w:pPr>
        <w:pStyle w:val="Compact"/>
        <w:numPr>
          <w:ilvl w:val="0"/>
          <w:numId w:val="1001"/>
        </w:numPr>
      </w:pPr>
      <w:r>
        <w:rPr>
          <w:rFonts w:ascii="Times New Roman" w:hAnsi="Times New Roman" w:eastAsia="Times New Roman"/>
        </w:rPr>
        <w:t xml:space="preserve">статьи 380 и 381 ГК РФ.</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Взыскать двойную сумму задатка в размере [сумма] руб., поскольку незаключение основного договора произошло по вине получившей задаток стороны.</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проект основного или предварительного договора.</w:t>
      </w:r>
    </w:p>
    <w:p>
      <w:pPr>
        <w:pStyle w:val="Compact"/>
        <w:numPr>
          <w:ilvl w:val="0"/>
          <w:numId w:val="1003"/>
        </w:numPr>
      </w:pPr>
      <w:r>
        <w:rPr>
          <w:rFonts w:ascii="Times New Roman" w:hAnsi="Times New Roman" w:eastAsia="Times New Roman"/>
        </w:rPr>
        <w:t xml:space="preserve">документы об оплате аванса или задатка.</w:t>
      </w:r>
    </w:p>
    <w:p>
      <w:pPr>
        <w:pStyle w:val="Compact"/>
        <w:numPr>
          <w:ilvl w:val="0"/>
          <w:numId w:val="1003"/>
        </w:numPr>
      </w:pPr>
      <w:r>
        <w:rPr>
          <w:rFonts w:ascii="Times New Roman" w:hAnsi="Times New Roman" w:eastAsia="Times New Roman"/>
        </w:rPr>
        <w:t xml:space="preserve">нотариальные согласия и уведомления сособственников, если применимо.</w:t>
      </w:r>
    </w:p>
    <w:p>
      <w:pPr>
        <w:pStyle w:val="Compact"/>
        <w:numPr>
          <w:ilvl w:val="0"/>
          <w:numId w:val="1003"/>
        </w:numPr>
      </w:pPr>
      <w:r>
        <w:rPr>
          <w:rFonts w:ascii="Times New Roman" w:hAnsi="Times New Roman" w:eastAsia="Times New Roman"/>
        </w:rPr>
        <w:t xml:space="preserve">акт осмотра и перечень имущества, передаваемого с объектом.</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2026-07-18T09:18:37Z</dcterms:created>
  <dcterms:modified xsi:type="dcterms:W3CDTF">2026-07-18T09:18:37Z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