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480035fc612bdfe49d2b9d69b1489689cb7b7e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35. Претензия о возврате задатка в двойном размере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Платеж 500 000 руб. прямо засчитывается в цену, подтверждает заключение соглашения и обеспечивает обязанность заключить основной договор. Документ различает последствия отказа продавца, отказа покупателя и прекращения обязательства по независящим от сторон обстоятельствам.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3380dcc6e27f1e4686d3c20ab42fd7a0536c8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О ВОЗВРАТЕ ЗАДАТКА В ДВОЙНОМ РАЗМЕРЕ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Платеж 500 000 руб. прямо засчитывается в цену, подтверждает заключение соглашения и обеспечивает обязанность заключить основной договор. Документ различает последствия отказа продавца, отказа покупателя и прекращения обязательства по независящим от сторон обстоятельствам.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380 и 381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