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632aac488ecf52ea84cf6bb226d509d49366bf9"/>
    <w:p>
      <w:pPr>
        <w:pStyle w:val="Heading1"/>
        <w:keepNext/>
      </w:pPr>
      <w:r>
        <w:rPr>
          <w:rFonts w:ascii="Times New Roman" w:hAnsi="Times New Roman" w:eastAsia="Times New Roman"/>
        </w:rPr>
        <w:t xml:space="preserve">172. Исковое заявление об изменении условий или прекращении сервитута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ООО «Лесная усадьба»; ответчик - ООО «Север»; третье лицо - Управление Росреестра по Московской области; орган местного самоуправления - Администрация городского округа.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земельный участок площадью 2 400 кв. м с кадастровым номером 50:15:0060402:517 по адресу: Московская область, городской округ Балашиха, д. Русавкино-Поповщино.</w:t>
      </w:r>
    </w:p>
    <w:p>
      <w:pPr>
        <w:pStyle w:val="BodyText"/>
      </w:pPr>
      <w:r>
        <w:rPr>
          <w:rFonts w:ascii="Times New Roman" w:hAnsi="Times New Roman" w:eastAsia="Times New Roman"/>
        </w:rPr>
        <w:t xml:space="preserve">Без прохода и проезда через полосу шириной 4 метра по участку ответчика объект истца не имеет доступа к дороге общего пользования. Предложены два маршрута; выбран наименее обременительный. Размер платы определен оценщиком.</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d292d84bb5b92fa4cb1bb30dd43d813ca323d5d"/>
    <w:p>
      <w:pPr>
        <w:pStyle w:val="Heading2"/>
        <w:keepNext/>
      </w:pPr>
      <w:r>
        <w:rPr>
          <w:rFonts w:ascii="Times New Roman" w:hAnsi="Times New Roman" w:eastAsia="Times New Roman"/>
        </w:rPr>
        <w:t xml:space="preserve">ИСКОВОЕ ЗАЯВЛЕНИЕ ОБ ИЗМЕНЕНИИ УСЛОВИЙ ИЛИ ПРЕКРАЩЕНИИ СЕРВИТУТА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Без прохода и проезда через полосу шириной 4 метра по участку ответчика объект истца не имеет доступа к дороге общего пользования. Предложены два маршрута; выбран наименее обременительный. Размер платы определен оценщиком.</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Земельный кодекс РФ.</w:t>
      </w:r>
    </w:p>
    <w:p>
      <w:pPr>
        <w:pStyle w:val="Compact"/>
        <w:numPr>
          <w:ilvl w:val="0"/>
          <w:numId w:val="1001"/>
        </w:numPr>
      </w:pPr>
      <w:r>
        <w:rPr>
          <w:rFonts w:ascii="Times New Roman" w:hAnsi="Times New Roman" w:eastAsia="Times New Roman"/>
        </w:rPr>
        <w:t xml:space="preserve">статьи 274-276 и 301-305 ГК РФ.</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статья 23 ЗК РФ и статьи 274-276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Изменить или прекратить сервитут вследствие изменения оснований и фактических условий использования.</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схема предлагаемых маршрутов сервитута.</w:t>
      </w:r>
    </w:p>
    <w:p>
      <w:pPr>
        <w:pStyle w:val="Compact"/>
        <w:numPr>
          <w:ilvl w:val="0"/>
          <w:numId w:val="1003"/>
        </w:numPr>
      </w:pPr>
      <w:r>
        <w:rPr>
          <w:rFonts w:ascii="Times New Roman" w:hAnsi="Times New Roman" w:eastAsia="Times New Roman"/>
        </w:rPr>
        <w:t xml:space="preserve">заключение кадастрового инженера.</w:t>
      </w:r>
    </w:p>
    <w:p>
      <w:pPr>
        <w:pStyle w:val="Compact"/>
        <w:numPr>
          <w:ilvl w:val="0"/>
          <w:numId w:val="1003"/>
        </w:numPr>
      </w:pPr>
      <w:r>
        <w:rPr>
          <w:rFonts w:ascii="Times New Roman" w:hAnsi="Times New Roman" w:eastAsia="Times New Roman"/>
        </w:rPr>
        <w:t xml:space="preserve">отчет о размере платы за сервитут.</w:t>
      </w:r>
    </w:p>
    <w:p>
      <w:pPr>
        <w:pStyle w:val="Compact"/>
        <w:numPr>
          <w:ilvl w:val="0"/>
          <w:numId w:val="1003"/>
        </w:numPr>
      </w:pPr>
      <w:r>
        <w:rPr>
          <w:rFonts w:ascii="Times New Roman" w:hAnsi="Times New Roman" w:eastAsia="Times New Roman"/>
        </w:rPr>
        <w:t xml:space="preserve">доказательства попытки договорного урегулирования.</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Координаты и площадь устанавливаются кадастровым инженером; текстовый шаблон не заменяет межевой план и геодезические измерения.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2026-07-18T09:18:52Z</dcterms:created>
  <dcterms:modified xsi:type="dcterms:W3CDTF">2026-07-18T09:18:52Z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