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0e525c72019580e497a742e646184f0180ef98"/>
    <w:p>
      <w:pPr>
        <w:pStyle w:val="Heading1"/>
        <w:keepNext/>
      </w:pPr>
      <w:r>
        <w:rPr>
          <w:rFonts w:ascii="Times New Roman" w:hAnsi="Times New Roman" w:eastAsia="Times New Roman"/>
        </w:rPr>
        <w:t xml:space="preserve">145. Исковое заявление о признании мнимой или притворной сделки с недвижимостью недействительной</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После формальной продажи продавец сохранил владение, оплачивал коммунальные услуги и распоряжался квартирой. Денежные средства по договору не поступали. Эти факты исследуются в совокупности, поскольку одно продолжение проживания само по себе не доказывает мнимость.</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4dd31af17f9e89f18d4fe3db3a3a81dce761421"/>
    <w:p>
      <w:pPr>
        <w:pStyle w:val="Heading2"/>
        <w:keepNext/>
      </w:pPr>
      <w:r>
        <w:rPr>
          <w:rFonts w:ascii="Times New Roman" w:hAnsi="Times New Roman" w:eastAsia="Times New Roman"/>
        </w:rPr>
        <w:t xml:space="preserve">ИСКОВОЕ ЗАЯВЛЕНИЕ О ПРИЗНАНИИ МНИМОЙ ИЛИ ПРИТВОРНОЙ СДЕЛКИ С НЕДВИЖИМОСТЬЮ НЕДЕЙСТВИТЕЛЬНОЙ</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После формальной продажи продавец сохранил владение, оплачивал коммунальные услуги и распоряжался квартирой. Денежные средства по договору не поступали. Эти факты исследуются в совокупности, поскольку одно продолжение проживания само по себе не доказывает мнимость.</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статья 170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