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96841b400ff6b9f4a13079fb8f14102450c70b8"/>
    <w:p>
      <w:pPr>
        <w:pStyle w:val="Heading1"/>
        <w:keepNext/>
      </w:pPr>
      <w:r>
        <w:rPr>
          <w:rFonts w:ascii="Times New Roman" w:hAnsi="Times New Roman" w:eastAsia="Times New Roman"/>
        </w:rPr>
        <w:t xml:space="preserve">141. Исковое заявление об оспаривании решения общего собрания собственников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e0415d864e392e01f276b990b40df103d14b7ff"/>
    <w:p>
      <w:pPr>
        <w:pStyle w:val="Heading2"/>
        <w:keepNext/>
      </w:pPr>
      <w:r>
        <w:rPr>
          <w:rFonts w:ascii="Times New Roman" w:hAnsi="Times New Roman" w:eastAsia="Times New Roman"/>
        </w:rPr>
        <w:t xml:space="preserve">ИСКОВОЕ ЗАЯВЛЕНИЕ ОБ ОСПАРИВАНИИ РЕШЕНИЯ ОБЩЕГО СОБРАНИЯ СОБСТВЕННИКОВ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статьи 44-48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недействительным решение общего собрания собственников по указанным вопросам повестки.</w:t>
      </w:r>
    </w:p>
    <w:p>
      <w:pPr>
        <w:pStyle w:val="Compact"/>
        <w:numPr>
          <w:ilvl w:val="0"/>
          <w:numId w:val="1002"/>
        </w:numPr>
      </w:pPr>
      <w:r>
        <w:rPr>
          <w:rFonts w:ascii="Times New Roman" w:hAnsi="Times New Roman" w:eastAsia="Times New Roman"/>
        </w:rPr>
        <w:t xml:space="preserve">Применить последствия недействительности, непосредственно связанные с оспоренным решением.</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