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a10c32b71692bcc2ee07466c9cc217df0b7990f"/>
    <w:p>
      <w:pPr>
        <w:pStyle w:val="Heading1"/>
        <w:keepNext/>
      </w:pPr>
      <w:r>
        <w:rPr>
          <w:rFonts w:ascii="Times New Roman" w:hAnsi="Times New Roman" w:eastAsia="Times New Roman"/>
        </w:rPr>
        <w:t xml:space="preserve">130. Исковое заявление об истребовании недвижимости из чужого незаконного владения</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dc8f5ea6f818d2bce81567af1df59839d6bfe3b"/>
    <w:p>
      <w:pPr>
        <w:pStyle w:val="Heading2"/>
        <w:keepNext/>
      </w:pPr>
      <w:r>
        <w:rPr>
          <w:rFonts w:ascii="Times New Roman" w:hAnsi="Times New Roman" w:eastAsia="Times New Roman"/>
        </w:rPr>
        <w:t xml:space="preserve">ИСКОВОЕ ЗАЯВЛЕНИЕ ОБ ИСТРЕБОВАНИИ НЕДВИЖИМОСТИ ИЗ ЧУЖОГО НЕЗАКОННОГО ВЛАДЕНИЯ</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Истребовать 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 из чужого незаконного владения и передать истцу по акту.</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