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ОСПАРИВАНИИ ДОНАЧИСЛЕНИЙ ПО СТАТЬЕ 54.1 НК РФ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Оспаривание должно отдельно раскрывать отсутствие искажения, реальность операции, исполнителя и невозможность связывать право налогоплательщика только с исполнением налоговых обязанностей контрагентом.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реальность товара, работ или услуг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использование результата в облагаемой деятельности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проверка контрагента и отсутствие участия в схеме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действительный размер расходов, вычетов и налога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оспаривании доначислений по статье 54.1 НК РФ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