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УТОЧНЕНИИ ПРИНАДЛЕЖНОСТИ НАЛОГОВОГО ПЛАТЕЖА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ЕНС налогоплательщика сформировано положительное сальдо [сумма] / инспекцией ранее взысканы налог, пени или штраф [сумма]. Заявление о возврате / зачёте подано [дата], но не исполнено либо исполнено частично.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суммы подтверждается платёжными поручениями, декларациями, решением по проверке / судебным актом и справкой о сальдо. Иных обязательств, препятствующих распоряжению суммой, нет либо их размер меньше положительного сальдо.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приводит отдельный расчёт процентов с учётом даты списания, установленного срока возврата и даты фактического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Распоряжение положительным сальдо ЕНС осуществляется по статьям 78 и 79 НК РФ в действующей редакции. С 2026 года применяются обновлённые формы заявлений; возврат положительного сальдо оформляется по форме КНД 1112542, а зачёт — по действующей форме КНД 1150057.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незаконном или несвоевременном взыскании и возврате налогоплательщик вправе требовать возврата суммы и процентов в предусмотренном Кодексом порядке. Для судебного требования необходимо подтвердить дату взыскания, обращение в инспекцию, размер суммы и период начисления процентов.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Заявление установленной формы и квитанция о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Справка о положительном сальдо / документы о взыскании.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реквизиты и выписка.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процентов по дням.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уточнении принадлежности налогового платежа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