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ДОНАЧИСЛЕНИЯ НАЛОГА НА ИМУЩЕСТВО ПРЕДПРИНИМАТЕЛЯ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применял [УСН / ПСН / НПД] в период [период]. Инспекция считает, что право утрачено из-за [превышения лимита, вида деятельности, численности, доли участия, взаимозависимости, найма работников].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показателя инспекции включает операции, которые [не являются доходом, относятся к другому периоду, возвращены, получены агентом, совершены другим лицом]. Документы и регистры подтверждают соблюдение условий либо более позднюю дату утраты права.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перерасчёте по общей системе должны быть учтены реальные расходы, входной НДС, ранее уплаченный налог по спецрежиму и право на переходные положения.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Применение УСН и патентной системы регулируется главами 26.2 и 26.5 НК РФ, а налог на профессиональный доход — Федеральным законом № 422-ФЗ. Утрата права на режим должна основываться на достоверном расчёте лимитов, численности, долей участия, видов деятельности и иных критериев.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Доначисление по общей системе после утраты спецрежима требует учёта всех относимых расходов и вычетов, документов и налогов, фактически уплаченных ранее. Формальная ошибка не должна приводить к взысканию налога сверх действительного экономического обязательства.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о применении режима / патент.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учёта доходов и расходов.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лимитов, численности и видов деятельности.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Альтернативный расчёт по общей системе.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доначисления налога на имущество предпринимателя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