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КОМПЕНСАЦИОННЫХ И ПОДОТЧЁТНЫХ ВЫПЛАТАХ СОТРУДНИКАМ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акту проверки инспекция переквалифицировала выплаты [сотрудникам / исполнителям / самозанятым] и доначислила НДФЛ и страховые взносы за [период] в сумме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Отношения сторон характеризовались самостоятельностью исполнителя: отсутствовали подчинение внутреннему распорядку и гарантированный рабочий процесс, оплата зависела от результата, использовались собственные ресурсы, допускалась работа с другими заказчиками.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Компенсационные и подотчётные выплаты подтверждены авансовыми отчётами, билетами, чеками, положениями и связью с деятельностью. Расчёт инспекции не учитывает возвраты, необлагаемые суммы и фактически удержанный налог.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Обязанности налогового агента по НДФЛ регулируются, в частности, статьями 226 и 230 НК РФ, а объект и база страховых взносов — главой 34 НК РФ. Переквалификация гражданско-правовых отношений требует исследования фактического содержания работы, подчинённости, режима, риска и способа оплаты.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Выплаты, имеющие компенсационный, подотчётный или иной неналоговый характер, оцениваются по документам и экономическому содержанию. Невозможность удержать НДФЛ оформляется в установленной форме и срок, а свободная пояснительная записка используется как сопровождающий документ.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Договоры с исполнителями и задания / акты результата.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Сведения о статусе самозанятых и чеки НПД.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Табель, локальные акты и матрица признаков отношений.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НДФЛ и страховых взносов.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компенсационных и подотчётных выплатах сотрудникам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