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ДОНАЧИСЛЕНИЯ СТРАХОВЫХ ВЗНОСОВ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акту проверки инспекция переквалифицировала выплаты [сотрудникам / исполнителям / самозанятым] и доначислила НДФЛ и страховые взносы за [период] в сумме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Отношения сторон характеризовались самостоятельностью исполнителя: отсутствовали подчинение внутреннему распорядку и гарантированный рабочий процесс, оплата зависела от результата, использовались собственные ресурсы, допускалась работа с другими заказчиками.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Компенсационные и подотчётные выплаты подтверждены авансовыми отчётами, билетами, чеками, положениями и связью с деятельностью. Расчёт инспекции не учитывает возвраты, необлагаемые суммы и фактически удержанный налог.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Обязанности налогового агента по НДФЛ регулируются, в частности, статьями 226 и 230 НК РФ, а объект и база страховых взносов — главой 34 НК РФ. Переквалификация гражданско-правовых отношений требует исследования фактического содержания работы, подчинённости, режима, риска и способа оплаты.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Выплаты, имеющие компенсационный, подотчётный или иной неналоговый характер, оцениваются по документам и экономическому содержанию. Невозможность удержать НДФЛ оформляется в установленной форме и срок, а свободная пояснительная записка используется как сопровождающий документ.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 с исполнителями и задания / акты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Сведения о статусе самозанятых и чеки НПД.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Табель, локальные акты и матрица признаков отношений.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НДФЛ и страховых взносов.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доначисления страховых взносов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