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ПРОТИВ ПРОДЛЕНИЯ КОНКУРСНОГО ПРОИЗВОДСТВА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Решением суда от [дата] должник признан банкротом, открыто конкурсное производство, конкурсным управляющим утверждён [Ф.И.О.].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формирования конкурсной массы требуется [передача документов и ценностей/истребование сведений/включение или исключение имущества/продление или завершение процедуры].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Инвентаризация, реестры и отчёт управляющего подтверждают [состав имущества, объём мероприятий, готовность к расчётам или необходимость дополнительного срока].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Управляющий не указал конкретных действий и экономического результата; активы реализованы, расчёты завершены. Продолжение создаёт расходы без перспективы пополнения массы.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124-149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После открытия конкурсного производства управляющий формирует конкурсную массу, проводит инвентаризацию, взыскание дебиторской задолженности, торги и расчёты. Вопросы передачи документов, принадлежности имущества, продления и завершения процедуры разрешаются исходя из конкретных незавершённых мероприятий и ожидаемого результата.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Конкурсное производство направлено на формирование и реализацию конкурсной массы, расчёты с кредиторами и ликвидацию должника. Руководитель обязан передать управляющему документы, печати, материальные ценности и электронные данные.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должника банкротом.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Открыть конкурсное производство.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 конкурсного управляющего и определить срок представления отчёта.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