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ДОСРОЧНОМ ПРЕКРАЩЕНИИ ВНЕШНЕГО УПРАВЛЕНИЯ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Платёжеспособность должника может быть восстановлена посредством [меры: перепрофилирование, продажа части имущества, замещение активов, взыскание дебиторской задолженности, инвестиции].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мероприятия рассчитаны на [срок] и должны обеспечить накопление средств в размере [сумма] руб. для расчётов с кредиторами.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Фактические результаты на дату обращения: [выручка, заключённые договоры, реализованные меры, причины отклонений от плана].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Возможность восстановления подтверждается действующим бизнесом, дебиторской задолженностью, контрактами и конкретными мерами. Отклонения от плана должны сопоставляться с фактическим финансовым результатом.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93-123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вводится при реальной возможности восстановить платёжеспособность. План должен содержать конкретные мероприятия, бюджет, сроки, ответственных лиц, ожидаемый эффект и контрольные показатели, а его изменение или продление — опираться на фактические результаты.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применяется при наличии реальной возможности восстановить платёжеспособность. План должен содержать конкретные меры, сроки, расчёты, контрольные показатели и прогноз удовлетворения требований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Досрочно прекратить внешнее управление.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Признать должника банкротом и открыть конкурсное производство.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 конкурсного управляющего.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