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ПРОДЛЕНИИ СРОКА ВНЕШНЕГО УПРАВЛЕНИЯ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Платёжеспособность должника может быть восстановлена посредством [меры: перепрофилирование, продажа части имущества, замещение активов, взыскание дебиторской задолженности, инвестиции].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мероприятия рассчитаны на [срок] и должны обеспечить накопление средств в размере [сумма] руб. для расчётов с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Фактические результаты на дату обращения: [выручка, заключённые договоры, реализованные меры, причины отклонений от плана].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Возможность восстановления подтверждается действующим бизнесом, дебиторской задолженностью, контрактами и конкретными мерами. Отклонения от плана должны сопоставляться с фактическим финансовым результатом.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93-123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вводится при реальной возможности восстановить платёжеспособность. План должен содержать конкретные мероприятия, бюджет, сроки, ответственных лиц, ожидаемый эффект и контрольные показатели, а его изменение или продление — опираться на фактические результаты.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применяется при наличии реальной возможности восстановить платёжеспособность. План должен содержать конкретные меры, сроки, расчёты, контрольные показатели и прогноз удовлетворения требований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Продлить срок внешнего управления на [срок] в пределах установленного законом максимума.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Утвердить актуализированный календарный план мероприятий.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Назначить дату рассмотрения отчёта внешнего управляющего.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