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ПРЕДЛОЖЕНИЕ ОБ ИЗМЕНЕНИИ ПЛАНА ВНЕШНЕГО УПРАВЛЕНИЯ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Платёжеспособность должника может быть восстановлена посредством [меры: перепрофилирование, продажа части имущества, замещение активов, взыскание дебиторской задолженности, инвестиции].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мероприятия рассчитаны на [срок] и должны обеспечить накопление средств в размере [сумма] руб. для расчётов с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Фактические результаты на дату обращения: [выручка, заключённые договоры, реализованные меры, причины отклонений от плана].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Возможность восстановления подтверждается действующим бизнесом, дебиторской задолженностью, контрактами и конкретными мерами. Отклонения от плана должны сопоставляться с фактическим финансовым результатом.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93-123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вводится при реальной возможности восстановить платёжеспособность. План должен содержать конкретные мероприятия, бюджет, сроки, ответственных лиц, ожидаемый эффект и контрольные показатели, а его изменение или продление — опираться на фактические результаты.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применяется при наличии реальной возможности восстановить платёжеспособность. План должен содержать конкретные меры, сроки, расчёты, контрольные показатели и прогноз удовлетворения требований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Ввести внешнее управление на срок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Утвердить внешнего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Утвердить/принять к рассмотрению план внешнего управления и контрольные сроки.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