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 О ВВЕДЕНИИ ВНЕШНЕГО УПРАВЛЕНИЯ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Платёжеспособность должника может быть восстановлена посредством [меры: перепрофилирование, продажа части имущества, замещение активов, взыскание дебиторской задолженности, инвестиции].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Предлагаемые мероприятия рассчитаны на [срок] и должны обеспечить накопление средств в размере [сумма] руб. для расчётов с кредиторами.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Фактические результаты на дату обращения: [выручка, заключённые договоры, реализованные меры, причины отклонений от плана].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Возможность восстановления подтверждается действующим бизнесом, дебиторской задолженностью, контрактами и конкретными мерами. Отклонения от плана должны сопоставляться с фактическим финансовым результатом.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93-123 Федерального закона № 127-ФЗ, статьями 41, 65, 66 и 159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вводится при реальной возможности восстановить платёжеспособность. План должен содержать конкретные мероприятия, бюджет, сроки, ответственных лиц, ожидаемый эффект и контрольные показатели, а его изменение или продление — опираться на фактические результаты.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Внешнее управление применяется при наличии реальной возможности восстановить платёжеспособность. План должен содержать конкретные меры, сроки, расчёты, контрольные показатели и прогноз удовлетворения требований кредиторов.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Запрашиваемая мера соразмерна обстоятельствам, непосредственно связана с предметом дела и необходима для правильного и своевременного рассмотрения спора. Менее обременительный способ не обеспечивает достижение той же цели.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Ввести внешнее управление на срок [срок].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Утвердить внешнего управляющего.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Утвердить/принять к рассмотрению план внешнего управления и контрольные сроки.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