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БАНКРОТСТВЕ ОТСУТСТВУЮЩЕГО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обращается в Арбитражный суд города Москвы в связи с наличием предусмотренных законом признаков несостоятельности юридического лица и необходимостью применения судебной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[должника] имеются неисполненные денежные обязательства перед [кредиторами] в общей сумме [сумма] руб. Просрочка составляет [период], обязательства подтверждаются [договоры, судебные акты, исполнительные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фактически прекратил деятельность, руководящие органы отсутствуют/местонахождение не установлено, операции по счетам не осуществляются, имущество не выявлено либо явно недостаточно для покрытия расходов.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Сведения о намерении обратиться в суд опубликованы в ЕФРСФДЮЛ/ЕФРСБ [дата, номер сообщения], если такая публикация требуется законом. Копии заявления направлены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по адресу ЕГРЮЛ не находится, операции по счетам и отчётность отсутствуют [период], руководитель и документация не обнаружены. Запросы в регистрирующие органы и банки подтверждают фактическое прекращение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Применяются специальные положения статей 227-230 Федерального закона № 127-ФЗ об отсутствующем должнике.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Применяются специальные положения статей 227-230 Федерального закона № 127-ФЗ об отсутствующем должнике.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заявление к производству.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отсутствующего должника банкротом и открыть конкурсное производство по упрощённой процедуре.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конкурсного управляющего из числа членов [наименование СРО].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