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ОБ ИЗМЕНЕНИИ ГРАФИКА ПОГАШЕНИЯ ЗАДОЛЖЕННОСТИ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Должник сохраняет действующий бизнес и обладает источниками восстановления платёжеспособности: [выручка, финансирование, реализация непрофильных активов, взыскание дебиторской задолженности].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Предлагаемый срок финансового оздоровления — [срок]. Общий объём погашения по графику — [сумма] руб.; обеспечение предоставляется [лицо, способ, стоимость].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Расчёты основаны на прогнозе денежных потоков, договорах с контрагентами и подтверждённых источниках финансирования.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76-92 Федерального закона № 127-ФЗ, статьями 41, 65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Финансовое оздоровление допускается при наличии исполнимого плана, графика погашения задолженности и достаточного обеспечения. Суд оценивает реальность денежных потоков, источники финансирования, соблюдение очередности и влияние предложенного графика на права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Финансовое оздоровление допускается при наличии реалистичного плана, исполнимого графика и предусмотренного законом обеспечения. Суд и кредиторы оценивают достаточность денежных потоков, источники финансирования и влияние графика на права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Утвердить изменения в график погашения задолженности в предложенной редакции.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Сохранить/изменить обеспечение исполнения графика.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Обязать административного управляющего уведомить кредиторов.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