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ВВЕДЕНИЯ ФИНАНСОВОГО ОЗДОРОВЛЕНИЯ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План должен опираться на подтверждённую выручку, договоры, источники финансирования и ликвидное обеспечение. В документе приводятся исходные показатели, помесячный денежный поток и контроль исполнения графика.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Ввести финансовое оздоровление на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план финансового оздоровления и график погашения задолженности.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административного управляющего и принять представленное обеспечение.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