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ПЛАН ФИНАНСОВОГО ОЗДОРОВЛЕНИЯ ЮРИДИЧЕСКОГО ЛИЦА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Должник сохраняет действующий бизнес и обладает источниками восстановления платёжеспособности: [выручка, финансирование, реализация непрофильных активов, взыскание дебиторской задолженности].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Предлагаемый срок финансового оздоровления — [срок]. Общий объём погашения по графику — [сумма] руб.; обеспечение предоставляется [лицо, способ, стоимость].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Расчёты основаны на прогнозе денежных потоков, договорах с контрагентами и подтверждённых источниках финансирования.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План должен опираться на подтверждённую выручку, договоры, источники финансирования и ликвидное обеспечение. В документе приводятся исходные показатели, помесячный денежный поток и контроль исполнения графика.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Документ подготовлен с учётом статьями 76-92 Федерального закона № 127-ФЗ, статьями 41, 65 и 159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Финансовое оздоровление допускается при наличии исполнимого плана, графика погашения задолженности и достаточного обеспечения. Суд оценивает реальность денежных потоков, источники финансирования, соблюдение очередности и влияние предложенного графика на права кредиторов.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Финансовое оздоровление допускается при наличии реалистичного плана, исполнимого графика и предусмотренного законом обеспечения. Суд и кредиторы оценивают достаточность денежных потоков, источники финансирования и влияние графика на права кредиторов.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keepNext/>
        <w:spacing w:before="160" w:after="8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1. Исходные сведения о должнике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Полное наименование: [наименование]. ОГРН: [номер]. ИНН: [номер]. Основной вид деятельности: [вид]. Место нахождения и производственные площадки: [адреса]. Численность работников: [количество]. Размер уставного капитала: [сумма].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Размер реестровой задолженности по состоянию на [дата] составляет [сумма] рублей, текущей задолженности — [сумма] рублей. Балансовая стоимость активов составляет [сумма] рублей, оценочная стоимость ликвидных активов — [сумма] рублей.</w:t>
      </w:r>
    </w:p>
    <w:p>
      <w:pPr>
        <w:keepNext/>
        <w:spacing w:before="160" w:after="8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2. Причины возникновения неплатёжеспособности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снижение выручки вследствие [обстоятельства];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рост себестоимости и постоянных расходов вследствие [обстоятельства];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неисполнение обязательств ключевыми дебиторами на сумму [сумма] рублей;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неэффективная структура финансирования и высокая долговая нагрузка;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5. иные обстоятельства: [указать].</w:t>
      </w:r>
    </w:p>
    <w:p>
      <w:pPr>
        <w:keepNext/>
        <w:spacing w:before="160" w:after="8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3. Цели и принципы финансового оздоровления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Целью плана является восстановление способности должника своевременно исполнять денежные обязательства и обязательные платежи без прекращения экономически жизнеспособной деятельности. План исходит из сохранения производственного ядра, отказа от непрофильных расходов, взыскания дебиторской задолженности и прозрачного контроля денежных потоков.</w:t>
      </w:r>
    </w:p>
    <w:p>
      <w:pPr>
        <w:keepNext/>
        <w:spacing w:before="160" w:after="8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4. Мероприятия по восстановлению платёжеспособности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28"/>
        <w:gridCol w:w="1928"/>
        <w:gridCol w:w="1928"/>
        <w:gridCol w:w="1928"/>
        <w:gridCol w:w="1928"/>
      </w:tblGrid>
      <w:tr>
        <w:trPr>
          <w:tblHeader w:val="true"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№</w:t>
            </w:r>
          </w:p>
        </w:tc>
        <w:tc>
          <w:tcPr>
            <w:tcW w:type="dxa" w:w="311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Мероприятие</w:t>
            </w:r>
          </w:p>
        </w:tc>
        <w:tc>
          <w:tcPr>
            <w:tcW w:type="dxa" w:w="124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Срок</w:t>
            </w:r>
          </w:p>
        </w:tc>
        <w:tc>
          <w:tcPr>
            <w:tcW w:type="dxa" w:w="170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Ответственный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Плановый эффект</w:t>
            </w:r>
          </w:p>
        </w:tc>
      </w:tr>
      <w:t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type="dxa" w:w="311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Взыскание дебиторской задолженности по перечню</w:t>
            </w:r>
          </w:p>
        </w:tc>
        <w:tc>
          <w:tcPr>
            <w:tcW w:type="dxa" w:w="124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[дата]</w:t>
            </w:r>
          </w:p>
        </w:tc>
        <w:tc>
          <w:tcPr>
            <w:tcW w:type="dxa" w:w="170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[лицо]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[сумма] руб.</w:t>
            </w:r>
          </w:p>
        </w:tc>
      </w:tr>
      <w:t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type="dxa" w:w="311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Продажа непрофильных активов по рыночной цене</w:t>
            </w:r>
          </w:p>
        </w:tc>
        <w:tc>
          <w:tcPr>
            <w:tcW w:type="dxa" w:w="124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[дата]</w:t>
            </w:r>
          </w:p>
        </w:tc>
        <w:tc>
          <w:tcPr>
            <w:tcW w:type="dxa" w:w="170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[лицо]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[сумма] руб.</w:t>
            </w:r>
          </w:p>
        </w:tc>
      </w:tr>
      <w:t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type="dxa" w:w="311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Пересмотр договоров и сокращение постоянных расходов</w:t>
            </w:r>
          </w:p>
        </w:tc>
        <w:tc>
          <w:tcPr>
            <w:tcW w:type="dxa" w:w="124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[дата]</w:t>
            </w:r>
          </w:p>
        </w:tc>
        <w:tc>
          <w:tcPr>
            <w:tcW w:type="dxa" w:w="170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[лицо]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экономия [сумма] руб./мес.</w:t>
            </w:r>
          </w:p>
        </w:tc>
      </w:tr>
      <w:t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type="dxa" w:w="311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Привлечение финансирования / вклад участников</w:t>
            </w:r>
          </w:p>
        </w:tc>
        <w:tc>
          <w:tcPr>
            <w:tcW w:type="dxa" w:w="124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[дата]</w:t>
            </w:r>
          </w:p>
        </w:tc>
        <w:tc>
          <w:tcPr>
            <w:tcW w:type="dxa" w:w="170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[лицо]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[сумма] руб.</w:t>
            </w:r>
          </w:p>
        </w:tc>
      </w:tr>
      <w:t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type="dxa" w:w="311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Рост выручки за счёт [мероприятия]</w:t>
            </w:r>
          </w:p>
        </w:tc>
        <w:tc>
          <w:tcPr>
            <w:tcW w:type="dxa" w:w="124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[дата]</w:t>
            </w:r>
          </w:p>
        </w:tc>
        <w:tc>
          <w:tcPr>
            <w:tcW w:type="dxa" w:w="170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[лицо]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[сумма] руб.</w:t>
            </w:r>
          </w:p>
        </w:tc>
      </w:tr>
    </w:tbl>
    <w:p/>
    <w:p>
      <w:pPr>
        <w:keepNext/>
        <w:spacing w:before="160" w:after="8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5. Прогноз движения денежных средств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06"/>
        <w:gridCol w:w="1606"/>
        <w:gridCol w:w="1606"/>
        <w:gridCol w:w="1606"/>
        <w:gridCol w:w="1606"/>
        <w:gridCol w:w="1606"/>
      </w:tblGrid>
      <w:tr>
        <w:trPr>
          <w:tblHeader w:val="true"/>
        </w:trPr>
        <w:tc>
          <w:tcPr>
            <w:tcW w:type="dxa" w:w="153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/>
                <w:b/>
                <w:sz w:val="17"/>
              </w:rPr>
              <w:t>Период</w:t>
            </w:r>
          </w:p>
        </w:tc>
        <w:tc>
          <w:tcPr>
            <w:tcW w:type="dxa" w:w="153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/>
                <w:b/>
                <w:sz w:val="17"/>
              </w:rPr>
              <w:t>Остаток на начало</w:t>
            </w:r>
          </w:p>
        </w:tc>
        <w:tc>
          <w:tcPr>
            <w:tcW w:type="dxa" w:w="153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/>
                <w:b/>
                <w:sz w:val="17"/>
              </w:rPr>
              <w:t>Поступления</w:t>
            </w:r>
          </w:p>
        </w:tc>
        <w:tc>
          <w:tcPr>
            <w:tcW w:type="dxa" w:w="153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/>
                <w:b/>
                <w:sz w:val="17"/>
              </w:rPr>
              <w:t>Текущие расходы</w:t>
            </w:r>
          </w:p>
        </w:tc>
        <w:tc>
          <w:tcPr>
            <w:tcW w:type="dxa" w:w="1644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/>
                <w:b/>
                <w:sz w:val="17"/>
              </w:rPr>
              <w:t>Платежи по графику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/>
                <w:b/>
                <w:sz w:val="17"/>
              </w:rPr>
              <w:t>Остаток</w:t>
            </w:r>
          </w:p>
        </w:tc>
      </w:tr>
      <w:tr>
        <w:tc>
          <w:tcPr>
            <w:tcW w:type="dxa" w:w="153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7"/>
              </w:rPr>
              <w:t>[месяц/квартал]</w:t>
            </w:r>
          </w:p>
        </w:tc>
        <w:tc>
          <w:tcPr>
            <w:tcW w:type="dxa" w:w="153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7"/>
              </w:rPr>
              <w:t>[сумма]</w:t>
            </w:r>
          </w:p>
        </w:tc>
        <w:tc>
          <w:tcPr>
            <w:tcW w:type="dxa" w:w="153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7"/>
              </w:rPr>
              <w:t>[сумма]</w:t>
            </w:r>
          </w:p>
        </w:tc>
        <w:tc>
          <w:tcPr>
            <w:tcW w:type="dxa" w:w="153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7"/>
              </w:rPr>
              <w:t>[сумма]</w:t>
            </w:r>
          </w:p>
        </w:tc>
        <w:tc>
          <w:tcPr>
            <w:tcW w:type="dxa" w:w="1644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7"/>
              </w:rPr>
              <w:t>[сумма]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7"/>
              </w:rPr>
              <w:t>[сумма]</w:t>
            </w:r>
          </w:p>
        </w:tc>
      </w:tr>
      <w:tr>
        <w:tc>
          <w:tcPr>
            <w:tcW w:type="dxa" w:w="153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7"/>
              </w:rPr>
              <w:t>[месяц/квартал]</w:t>
            </w:r>
          </w:p>
        </w:tc>
        <w:tc>
          <w:tcPr>
            <w:tcW w:type="dxa" w:w="153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7"/>
              </w:rPr>
              <w:t>[сумма]</w:t>
            </w:r>
          </w:p>
        </w:tc>
        <w:tc>
          <w:tcPr>
            <w:tcW w:type="dxa" w:w="153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7"/>
              </w:rPr>
              <w:t>[сумма]</w:t>
            </w:r>
          </w:p>
        </w:tc>
        <w:tc>
          <w:tcPr>
            <w:tcW w:type="dxa" w:w="153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7"/>
              </w:rPr>
              <w:t>[сумма]</w:t>
            </w:r>
          </w:p>
        </w:tc>
        <w:tc>
          <w:tcPr>
            <w:tcW w:type="dxa" w:w="1644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7"/>
              </w:rPr>
              <w:t>[сумма]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7"/>
              </w:rPr>
              <w:t>[сумма]</w:t>
            </w:r>
          </w:p>
        </w:tc>
      </w:tr>
      <w:tr>
        <w:tc>
          <w:tcPr>
            <w:tcW w:type="dxa" w:w="153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7"/>
              </w:rPr>
              <w:t>Итого</w:t>
            </w:r>
          </w:p>
        </w:tc>
        <w:tc>
          <w:tcPr>
            <w:tcW w:type="dxa" w:w="153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7"/>
              </w:rPr>
              <w:t>—</w:t>
            </w:r>
          </w:p>
        </w:tc>
        <w:tc>
          <w:tcPr>
            <w:tcW w:type="dxa" w:w="153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7"/>
              </w:rPr>
              <w:t>[сумма]</w:t>
            </w:r>
          </w:p>
        </w:tc>
        <w:tc>
          <w:tcPr>
            <w:tcW w:type="dxa" w:w="153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7"/>
              </w:rPr>
              <w:t>[сумма]</w:t>
            </w:r>
          </w:p>
        </w:tc>
        <w:tc>
          <w:tcPr>
            <w:tcW w:type="dxa" w:w="1644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7"/>
              </w:rPr>
              <w:t>[сумма]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7"/>
              </w:rPr>
              <w:t>[сумма]</w:t>
            </w:r>
          </w:p>
        </w:tc>
      </w:tr>
    </w:tbl>
    <w:p/>
    <w:p>
      <w:pPr>
        <w:keepNext/>
        <w:spacing w:before="160" w:after="8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6. Контроль исполнения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Руководитель должника ежемесячно, не позднее [число] числа, представляет административному управляющему отчёт о фактических поступлениях, расходах, исполнении графика и причинах отклонений. Сделки сверх [сумма] рублей и отчуждение активов совершаются с соблюдением ограничений, установленных законом и судебным актом.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Утвердить план финансового оздоровления [наименование должника] в представленной редакции.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Приобщить план и приложения к материалам дела.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доверенность или иной документ, подтверждающий полномочия представителя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финансовая модель и помесячный бюджет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перечень дебиторов и план взыскания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7. оценка реализуемых активов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[уполномоченное лицо]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