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УЧРЕДИТЕЛЕЙ ДОЛЖНИКА О ВВЕДЕНИИ ФИНАНСОВОГО ОЗДОРОВЛЕНИЯ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сохраняет действующий бизнес и обладает источниками восстановления платёжеспособности: [выручка, финансирование, реализация непрофильных активов, взыскание дебиторской задолженности].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Предлагаемый срок финансового оздоровления — [срок]. Общий объём погашения по графику — [сумма] руб.; обеспечение предоставляется [лицо, способ,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Расчёты основаны на прогнозе денежных потоков, договорах с контрагентами и подтверждённых источниках финансирования.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План должен опираться на подтверждённую выручку, договоры, источники финансирования и ликвидное обеспечение. В документе приводятся исходные показатели, помесячный денежный поток и контроль исполнения графика.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76-92 Федерального закона № 127-ФЗ, статьями 41, 65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исполнимого плана, графика погашения задолженности и достаточного обеспечения. Суд оценивает реальность денежных потоков, источники финансирования, соблюдение очередности и влияние предложенного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реалистичного плана, исполнимого графика и предусмотренного законом обеспечения. Суд и кредиторы оценивают достаточность денежных потоков, источники финансирования и влияние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Ввести финансовое оздоровление на срок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Утвердить план финансового оздоровления и график погашения задолженности.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административного управляющего и принять представленное обеспечение.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