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ОТНОСИТЕЛЬНО КОЛИЧЕСТВА ГОЛОСОВ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сформирован реестр требований кредиторов. Очередное/внеочередное собрание назначено либо должно быть созвано для решения вопросов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или проведении собрания допущены обстоятельства: [неуведомление, неверный подсчёт голосов, отказ включить вопрос, выход за пределы компетенции].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повлияло/могло повлиять на результаты голосования и затронуло права заявителя как кредитора с [процент] % голосов.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расчёт необоснованно включены санкции / текущие требования либо не учтено погашение. Правильный размер основного долга изменяет долю голосов с [процент] % до [процент] %.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12-18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определяют компетенцию собрания и комитета кредиторов, порядок созыва, уведомления, кворум и подсчёт голосов. Решение может быть признано недействительным при существенном нарушении процедуры, компетенции или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кредиторов и комитет кредиторов действуют строго в пределах компетенции. Размер голосов определяется пропорционально сумме основного долга, включённой в реестр, с учётом правил о требованиях без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подсчёте голосов учитывается размер основного долга без санкций и требований, не предоставляющих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подсчёте голосов учитывается размер основного долга без санкций и требований, не предоставляющих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Определить количество голосов [кредитора] в размере [процент/сумма].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Не учитывать санкции и требования без права голоса.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управляющего исправить материалы собрания и результаты подсчёта.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