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ПОНУЖДЕНИИ АРБИТРАЖНОГО УПРАВЛЯЮЩЕГО ПРОВЕСТИ СОБРАНИЕ КРЕДИТОРОВ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деле о банкротстве сформирован реестр требований кредиторов. Очередное/внеочередное собрание назначено либо должно быть созвано для решения вопросов [перечень].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или проведении собрания допущены обстоятельства: [неуведомление, неверный подсчёт голосов, отказ включить вопрос, выход за пределы компетенции].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повлияло/могло повлиять на результаты голосования и затронуло права заявителя как кредитора с [процент] % голосов.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12-18 Федерального закона № 127-ФЗ, статьями 41, 65, 71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12–18 Федерального закона № 127-ФЗ определяют компетенцию собрания и комитета кредиторов, порядок созыва, уведомления, кворум и подсчёт голосов. Решение может быть признано недействительным при существенном нарушении процедуры, компетенции или прав заявителя.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Собрание кредиторов и комитет кредиторов действуют строго в пределах компетенции. Размер голосов определяется пропорционально сумме основного долга, включённой в реестр, с учётом правил о требованиях без права голоса.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арбитражного управляющего созвать и провести собрание кредиторов в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в повестку вопросы, указанные заявителем.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опубликовать сообщение и направить уведомления участникам.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уведомление о собрании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бюллетени и протокол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реестр участников и расчёт голосов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