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 (работник / бывший работник): [Ф.И.О., адрес, ИНН]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БЫВШЕГО РАБОТНИКА О ПРИЗНАНИИ РАБОТОДАТЕЛЯ БАНКРОТОМ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Стоимость ликвидных активов составляет ориентировочно [сумма] руб.; денежных потоков недостаточно для одновременного исполнения наступивших обязательств. Погашение требований отдельных кредиторов приведёт к невозможности расчётов с остальными.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по заработной плате и связанным выплатам подтверждена трудовым договором, расчётными документами и [судебным актом]. Период задолженности и помесячный расчёт указаны в приложении.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Прекращение трудового договора не прекращает право на начисленную заработную плату, выходное пособие и иные суммы, связанные с трудовыми отношениями.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заявление обоснованным и ввести в отношении [должника] процедуру наблюдения.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временного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Включить требование заявителя в реестр, если такое требование заявлено одновременно и допускается законом.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