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ПРОТИВ ВКЛЮЧЕНИЯ ПРОЦЕНТОВ, НЕУСТОЙКИ И ФИНАНСОВЫХ САНКЦИЙ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Кредитор заявил требование в размере [сумма] руб. со ссылкой на [основание]. Заявитель возражений оспаривает существование, размер, очередность или обеспеченность требования.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Представленные документы не подтверждают фактическую передачу денег/товара/работ, полномочия подписантов, непрерывность цепочки уступок либо соответствие расчёта условиям обязательства.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Имеются обстоятельства, указывающие на [истечение срока давности, аффилированность, корпоративную природу финансирования, мнимость, погашение, отсутствие залога].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 включает периоды и суммы, не предусмотренные договором или законом, не учитывает платежи и разделение реестровых и текущих начислений. Неустойка подлежит отдельной проверке на соразмерность.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4, 16, 71, 100 и 138 Федерального закона № 127-ФЗ, статьями 10, 168, 170, 181 и 199 ГК РФ, статьями 65, 71, 75 и 161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 проверяет не только формальный договор, но и реальность хозяйственной операции: движение денег и имущества, экономическую цель, источник финансирования, полномочия подписантов и отражение операции в учёте. В отношении аффилированных и контролирующих лиц действует повышенный стандарт доказывания с учётом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Возражения могут касаться реальности обязательства, состава и размера долга, исковой давности, аффилированности, компенсационного финансирования, залогового статуса и очередности. Формальное признание долга должником не освобождает суд от проверки требования по существу.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требований контролирующих и аффилированных лиц учитываются разъяснения постановления Пленума Верховного Суда РФ от 23.12.2025 № 41.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во включении требования в реестр полностью / в спорной части.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наличии оснований понизить очередность требования либо отказать в признании залогового статуса.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Истребовать оригиналы первичных документов, банковские выписки и сведения о взаимозависимости сторон.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отчёт оценщика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документы об объекте оценки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рецензия или альтернативный отчёт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подробный расчёт по каждой составляющей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банковские выписки и первичные документы по спорной операции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