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ПРОТИВ ВКЛЮЧЕНИЯ ТРЕБОВАНИЯ АФФИЛИРОВАННОГО КРЕДИТОРА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Кредитор заявил требование в размере [сумма] руб. со ссылкой на [основание]. Заявитель возражений оспаривает существование, размер, очередность или обеспеченность требования.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Представленные документы не подтверждают фактическую передачу денег/товара/работ, полномочия подписантов, непрерывность цепочки уступок либо соответствие расчёта условиям обязательства.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Имеются обстоятельства, указывающие на [истечение срока давности, аффилированность, корпоративную природу финансирования, мнимость, погашение, отсутствие залога].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Связь сторон выражается в [общий контроль / участники / руководители]. Кредитор обязан раскрыть источник денег, экономическую цель и использование финансирования, особенно если оно предоставлено в период имущественного кризиса.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 и 138 Федерального закона № 127-ФЗ, статьями 10, 168, 170, 181 и 199 ГК РФ, статьями 65, 71, 75 и 161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Суд проверяет не только формальный договор, но и реальность хозяйственной операции: движение денег и имущества, экономическую цель, источник финансирования, полномочия подписантов и отражение операции в учёте. В отношении аффилированных и контролирующих лиц действует повышенный стандарт доказывания с учётом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Возражения могут касаться реальности обязательства, состава и размера долга, исковой давности, аффилированности, компенсационного финансирования, залогового статуса и очередности. Формальное признание долга должником не освобождает суд от проверки требования по существу.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требований контролирующих и аффилированных лиц учитываются разъяснения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во включении требования в реестр полностью / в спорной части.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 наличии оснований понизить очередность требования либо отказать в признании залогового статуса.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Истребовать оригиналы первичных документов, банковские выписки и сведения о взаимозависимости сторон.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выписки из ЕГРЮЛ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корпоративные документы и переписка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сведения о движении денежных средств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