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АРБИТРАЖНОГО УПРАВЛЯЮЩЕГО НА ТРЕБОВАНИЕ КРЕДИТОРА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Кредитор заявил требование в размере [сумма] руб. со ссылкой на [основание]. Заявитель возражений оспаривает существование, размер, очередность или обеспеченность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Представленные документы не подтверждают фактическую передачу денег/товара/работ, полномочия подписантов, непрерывность цепочки уступок либо соответствие расчёта условиям обязательства.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Имеются обстоятельства, указывающие на [истечение срока давности, аффилированность, корпоративную природу финансирования, мнимость, погашение, отсутствие залога].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 и 138 Федерального закона № 127-ФЗ, статьями 10, 168, 170, 181 и 199 ГК РФ, статьями 65, 71, 75 и 161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 проверяет не только формальный договор, но и реальность хозяйственной операции: движение денег и имущества, экономическую цель, источник финансирования, полномочия подписантов и отражение операции в учёте. В отношении аффилированных и контролирующих лиц действует повышенный стандарт доказывания с учётом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Возражения могут касаться реальности обязательства, состава и размера долга, исковой давности, аффилированности, компенсационного финансирования, залогового статуса и очередности. Формальное признание долга должником не освобождает суд от проверки требования по существу.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требований контролирующих и аффилированных лиц учитываются разъяснения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во включении требования в реестр полностью / в спорной части.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наличии оснований понизить очередность требования либо отказать в признании залогового статуса.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Истребовать оригиналы первичных документов, банковские выписки и сведения о взаимозависимости сторон.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обращения к управляющему и ответы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отчёты управляющего и публикации в ЕФРСБ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нарушения и размера последствий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