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НА ТРЕБОВАНИЕ НАЛОГОВОГО ОРГАНА О ВКЛЮЧЕНИИ ЗАДОЛЖЕННОСТИ В РЕЕСТР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включает текущие суммы, погашенные начисления, спорные доначисления или пени за ненадлежащий период. Необходимо разграничить каждую часть и учесть результаты налогового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установлении требования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Исключить неподтверждённые начисления и санкции.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расчёт, первичные документы и сведения о дате возникновения обязательства.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решения и требования налогового органа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карточка расчётов с бюджетом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судебные акты по налоговому спору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