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РАЗРЕШЕНИИ РАЗНОГЛАСИЙ ПО ОЧЕРЁДНОСТИ ТЕКУЩИХ ПЛАТЕЖЕЙ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возникла [до/после] возбуждения дела о банкротстве из [основание] и составляет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 требование учтено/не учтено как [текущее, реестровое, заработная плата, обязательный платёж] и отнесено к [очеред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едставляет расчёт, первичные документы и сведения о дате возникновения обязательства, необходимые для правильной квалификации и очерёд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, 16, 60, 134, 136, 142 и 129.1 Федерального закона № 127-ФЗ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ми являются обязательства, возникшие после принятия заявления о банкротстве, если законом не установлено иное. Их очерёдность определяется статьёй 134 Федерального закона № 127-ФЗ. Квалификация зависит от момента возникновения обязательства, а не от даты акта, счёта или судебного ре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е платежи и реестровые требования разграничиваются по моменту возникновения обязательства. Очерёдность текущих платежей обязательна для управляющего, а требования работников и уполномоченного органа устанавливаются с учётом специальных правил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Разрешить разногласия по очерёдности текущих платеже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нести требование заявителя к [очередь] текущих платеже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управляющего скорректировать платёжный календарь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латёжные поручения и банковские выпис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договор и перви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асчёт спорной сумм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