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ОТЗЫВ АРБИТРАЖНОГО УПРАВЛЯЮЩЕГО НА ЖАЛОБУ КРЕДИТОРА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Арбитражным управляющим совершены действия/допущено бездействие: [описание, даты, обращения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активам, отказе от оспаривания, завышенных расходах, нарушении торгов, собрания или реестра].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Вследствие этого права заявителя нарушены: [снижение конкурсной массы, лишение права голоса, увеличение расходов, затягивание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20.3, 20.4, 60 и иными применимыми нормами Федерального закона № 127-ФЗ, статьями 15 и 1064 ГК РФ,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разумно. Жалоба должна указывать конкретное действие или бездействие, нарушенную обязанность, затронутое право и способ его восстановления. Для взыскания убытков дополнительно доказываются размер и причинная связь, для отстранения — существенность нарушения.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 в интересах должника, кредиторов и общества. Для удовлетворения жалобы необходимо показать конкретное нарушение, затронутое право и требуемый способ его восстановления.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удовлетворении жалобы кредитора.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Признать действия управляющего соответствующими закону и утверждённому плану мероприятий.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Приобщить отчёт и подтверждающие документы.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копии обращений к управляющему и доказательства их получения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отчёты управляющего и документы о последствиях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