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НА НАРУШЕНИЯ ПРИ ВЕДЕНИИ РЕЕСТРА ТРЕБОВАНИЙ КРЕДИТОРОВ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Арбитражным управляющим совершены действия/допущено бездействие: [описание, даты, обращения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активам, отказе от оспаривания, завышенных расходах, нарушении торгов, собрания или реестра].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Вследствие этого права заявителя нарушены: [снижение конкурсной массы, лишение права голоса, увеличение расходов, затягивание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Неверно отражены размер, очередь, залог или погашение; ошибка влияет на голоса и распределение средств, а обращение об исправлении оставлено без ответа.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20.3, 20.4, 60 и иными применимыми нормами Федерального закона № 127-ФЗ, статьями 15 и 1064 ГК РФ,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разумно. Жалоба должна указывать конкретное действие или бездействие, нарушенную обязанность, затронутое право и способ его восстановления. Для взыскания убытков дополнительно доказываются размер и причинная связь, для отстранения — существенность нарушения.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 в интересах должника, кредиторов и общества. Для удовлетворения жалобы необходимо показать конкретное нарушение, затронутое право и требуемый способ его восстановления.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Описанное нарушение непосредственно затрагивает права заявителя и достоверность процедуры. Для восстановления нарушенного права необходимо конкретное устранение последствий, указанное в просительной части.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действия/бездействие арбитражного управляющего незаконными.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устранить нарушение конкретным способом и в установленный срок.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Рассмотреть вопрос об отстранении и распределении судебных расходов при наличии оснований.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копии обращений к управляющему и доказательства их получения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отчёты управляющего и документы о последствиях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