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ОБ АРЕСТЕ ИМУЩЕСТВА КОНТРОЛИРУЮЩЕГО ДОЛЖНИКА ЛИЦА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связывает банкротство должника с действиями [руководителя/участника/бенефициара] в период [даты].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качестве оснований указаны [неподача заявления, вывод активов, непередача документов, убыточные сделки, искажение отчётности, фактический контроль].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определения ответственности необходимо исследовать момент объективного банкротства, влияние конкретных решений, альтернативные причины кризиса и размер непогашенных требований.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Имеется риск отчуждения активов ответчика. Просимые меры адресны, ограничены ориентировочным размером ответственности и не создают чрезмерного ограничения.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61.10-61.20 Федерального закона № 127-ФЗ, статьями 15, 53.1, 1064 ГК РФ, статьями 46, 65, 66, 90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презумпций статей 61.10–61.20 Федерального закона № 127-ФЗ, постановления Пленума Верховного Суда РФ № 53 и изменений 2025 года.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предусмотренных законом презумпций и возможности их опровержения.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Обеспечительные меры должны быть связаны с предметом требования, соразмерны предполагаемой ответственности и направлены на предотвращение затруднения исполнения будущего судебного акта.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постановление Пленума Верховного Суда РФ от 21.12.2017 № 53 и изменения, внесённые постановлением Пленума Верховного Суда РФ от 23.12.2025 № 42.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Обеспечительные меры должны быть связаны с предметом требования, соразмерны предполагаемой ответственности и направлены на предотвращение затруднения исполнения будущего судебного акта.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Принять обеспечительные меры в виде запрета отчуждения и обременения имущества [перечень].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Запретить регистрирующим органам совершать регистрационные действия в отношении указанного имущества.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Сохранить меры до вступления в законную силу судебного акта по соответствующему спору.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правоустанавливающие документы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инвентаризационная опись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выписки из государственных реестров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расчёт предполагаемого размера ответственности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доказательства контроля, причинной связи и момента объективного банкротства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