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КАССАЦИОННАЯ ЖАЛОБА НА СУДЕБНЫЕ АКТЫ ПО СПОРУ ОБ ОСПАРИВАНИИ СДЕЛКИ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Настоящая кассационная жалоба подаётся на определение Арбитражного суда города Москвы от [дата] и постановление суда апелляционной инстанции от [дата] по делу № А40-[номер]/20__, которыми [результат].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просит признать недействительной сделку от [дата] между должником и ответчиком, применить последствия в размере [сумма]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получил равноценное встречное исполнение/сам исполнил обязательство/не знал и не должен был знать о кризисе/операция соответствовала обычной хозяйственной деятельности.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Расчёт заявителя не учитывает [встречное исполнение, возврат имущества, налоги, износ, частичное исполнение, изменение стоимости] и приводит к двойному взысканию.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Доводы касаются существенных нарушений права и мотивированности актов, а не простой переоценки доказательств. Выводы судов не соответствуют установленным обстоятельствам либо приняты с нарушением предмета доказывания.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61.1-61.9 Федерального закона № 127-ФЗ, статьями 10, 166-170, 181 и 199 ГК РФ, статьями 65, 71, 82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вправе опровергать каждый элемент основания недействительности, доказывать рыночность, обычный характер операции, реальность встречного исполнения, отсутствие осведомлённости и вреда. Размер реституции определяется с учётом частичного исполнения, возврата, износа и надлежащей даты оценки.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вправе опровергать каждый элемент основания оспаривания, доказывать равноценность, обычный характер деятельности, добросовестность, отсутствие предпочтения или вреда, а также заявлять о сроке исковой давности и соразмерности реституции.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защите ответчика учитываются разъяснения постановления Пленума ВАС РФ от 23.12.2010 № 63 в применимой редакции.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Отменить судебные акты первой и апелляционной инстанций по делу № А40-[номер]/20__.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Направить обособленный спор на новое рассмотрение / принять новый судебный акт при наличии процессуальных оснований.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Приостановить исполнение обжалуемых судебных актов до рассмотрения кассационной жалобы, если подано отдельное ходатайство и предоставлено встречное обеспечение.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оспариваемый договор и приложения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платёжные и передаточные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выписки по счетам и сведения о рыночной стоимости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хронология сделки и движения имущества или денег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сведения об аффилированности и финансовом состоянии должника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