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ВОЗРАЖЕНИЯ ОТНОСИТЕЛЬНО РАЗМЕРА РЕСТИТУЦИОННОГО ТРЕБОВАНИЯ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в рамках дела № А40-[номер]/20__ рассматривается заявление [наименование заявителя], с доводами которого лицо, подающее настоящий документ, не согласно по следующим основаниям.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просит признать недействительной сделку от [дата] между должником и ответчиком, применить последствия в размере [сумма] руб.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Ответчик получил равноценное встречное исполнение/сам исполнил обязательство/не знал и не должен был знать о кризисе/операция соответствовала обычной хозяйственной деятельности.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Расчёт заявителя не учитывает [встречное исполнение, возврат имущества, налоги, износ, частичное исполнение, изменение стоимости] и приводит к двойному взысканию.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61.1-61.9 Федерального закона № 127-ФЗ, статьями 10, 166-170, 181 и 199 ГК РФ, статьями 65, 71, 82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Ответчик вправе опровергать каждый элемент основания недействительности, доказывать рыночность, обычный характер операции, реальность встречного исполнения, отсутствие осведомлённости и вреда. Размер реституции определяется с учётом частичного исполнения, возврата, износа и надлежащей даты оценки.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Ответчик вправе опровергать каждый элемент основания оспаривания, доказывать равноценность, обычный характер деятельности, добросовестность, отсутствие предпочтения или вреда, а также заявлять о сроке исковой давности и соразмерности реституции.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 защите ответчика учитываются разъяснения постановления Пленума ВАС РФ от 23.12.2010 № 63 в применимой редакции.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Применительно к изложенным обстоятельствам другая сторона не доказала совокупность юридически значимых фактов, необходимых для удовлетворения её требования. Документы подлежат оценке во взаимной связи с банковскими сведениями, бухгалтерским учётом, поведением сторон и экономическим смыслом отношений.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Отказать во взыскании неподтверждённой части реституционного требования.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Учесть встречное исполнение, возврат имущества, износ и иные уменьшающие обстоятельства.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При необходимости назначить экспертизу стоимости на юридически значимую дату.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хронология сделки и движения имущества или денег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сведения об аффилированности и финансовом состоянии должника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