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ПРИМЕНЕНИИ СРОКА ИСКОВОЙ ДАВНОСТИ К ТРЕБОВАНИЮ ОБ ОСПАРИВАНИИ СДЕЛКИ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признать недействительной сделку от [дата] между должником и ответчиком, применить последствия в размере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получил равноценное встречное исполнение/сам исполнил обязательство/не знал и не должен был знать о кризисе/операция соответствовала обычной хозяйственной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заявителя не учитывает [встречное исполнение, возврат имущества, налоги, износ, частичное исполнение, изменение стоимости] и приводит к двойному взысканию.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166-170, 181 и 199 ГК РФ, статьями 65, 71, 82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недействительности, доказывать рыночность, обычный характер операции, реальность встречного исполнения, отсутствие осведомлённости и вреда. Размер реституции определяется с учётом частичного исполнения, возврата, износа и надлежащей даты оценки.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оспаривания, доказывать равноценность, обычный характер деятельности, добросовестность, отсутствие предпочтения или вреда, а также заявлять о сроке исковой давности и соразмерности реституции.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Исковая давность применяется только по заявлению стороны; необходимо определить начало течения срока с учётом момента, когда уполномоченное лицо узнало или должно было узнать об основании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защите ответчика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Исковая давность применяется только по заявлению стороны; необходимо определить начало течения срока с учётом момента, когда уполномоченное лицо узнало или должно было узнать об основании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Применить исковую давность.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Отказать в удовлетворении заявления об оспаривании сделки.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Взыскать с заявителя судебные расходы ответчика.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