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ОБ ОСПАРИВАНИИ ДОГОВОРА ЗАЛОГА ИЛИ ПОРУЧИТЕЛЬСТВА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совершил [дата] сделку с [контрагент] на условиях [предмет, цена, порядок исполнения]. Сделка совершена в пределах предусмотренного законом периода подозрительности.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результате из конкурсной массы выбыло имущество/денежные средства стоимостью [сумма] руб., а встречное исполнение [отсутствовало/было неравноценным/предоставлено с предпочтением].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Связь сторон, финансовое состояние должника и движение активов подтверждаются [выписки, ЕГРЮЛ, первичные документы, оценка, переписка].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61.1-61.9 Федерального закона № 127-ФЗ, статьями 10, 166-170 и 181 ГК РФ, статьями 65, 66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Оспаривание сделки требует установить конкретное основание, период её совершения и все элементы состава. При неравноценности сопоставляются рыночные условия; при причинении вреда — цель, вред и осведомлённость; при предпочтении — изменение очередности. Последствия должны восстановить конкурсную массу без двойного взыскания.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Оспаривание сделки требует установления состава конкретного основания недействительности, периода её совершения, вреда конкурсной массе и осведомлённости контрагента в предусмотренных законом случаях. Последствия должны восстанавливать конкурсную массу без необоснованного обогащения.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квалификации сделок учитываются разъяснения постановления Пленума ВАС РФ от 23.12.2010 № 63 в применимой редакции.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сделку/платёж от [дата] недействительными.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Применить последствия недействительности: взыскать [сумма] руб. / возвратить имущество [описание] в конкурсную массу.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Восстановить задолженность должника перед ответчиком в предусмотренном законом порядке, если встречное исполнение доказано.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договор залога и приложения к нему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выписка из ЕГРН или реестра уведомлений о залоге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расчёт обеспеченного требования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хронология сделки и движения имущества или денег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сведения об аффилированности и финансовом состоянии должника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