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ПРИЗНАНИИ СДЕЛКИ МНИМОЙ ИЛИ ПРИТВОРНОЙ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совершил [дата] сделку с [контрагент] на условиях [предмет, цена, порядок исполнения]. Сделка совершена в пределах предусмотренного законом периода подозрительности.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результате из конкурсной массы выбыло имущество/денежные средства стоимостью [сумма] руб., а встречное исполнение [отсутствовало/было неравноценным/предоставлено с предпочтением].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Связь сторон, финансовое состояние должника и движение активов подтверждаются [выписки, ЕГРЮЛ, первичные документы, оценка, переписка].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Документы не сопровождались фактическим исполнением либо прикрывали иную операцию. Движение денег и имущества не соответствует тексту договора.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 и 181 ГК РФ, статьями 65, 66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установить конкретное основание, период её совершения и все элементы состава. При неравноценности сопоставляются рыночные условия; при причинении вреда — цель, вред и осведомлённость; при предпочтении — изменение очередности. Последствия должны восстановить конкурсную массу без двойного взыскания.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установления состава конкретного основания недействительности, периода её совершения, вреда конкурсной массе и осведомлённости контрагента в предусмотренных законом случаях. Последствия должны восстанавливать конкурсную массу без необоснованного обогащения.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Квалификация по статье 170 ГК РФ требует установить отсутствие намерения создать заявленные последствия либо прикрытие иной сделки.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квалификации сделок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Квалификация по статье 170 ГК РФ требует установить отсутствие намерения создать заявленные последствия либо прикрытие иной сделки.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сделку/платёж от [дата] недействительными.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Применить последствия недействительности: взыскать [сумма] руб. / возвратить имущество [описание] в конкурсную массу.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Восстановить задолженность должника перед ответчиком в предусмотренном законом порядке, если встречное исполнение доказано.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