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ПРИЗНАНИИ СДЕЛКИ НЕДЕЙСТВИТЕЛЬНОЙ В СВЯЗИ С НЕРАВНОЦЕННЫМ ВСТРЕЧНЫМ ИСПОЛНЕНИЕМ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Рыночная стоимость актива [сумма] рублей, цена сделки [сумма] рублей. Существенное отклонение подтверждено оценкой и сопоставимыми сделками; дополнительное встречное предоставление отсутствует.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Пункт 1 статьи 61.2 Федерального закона № 127-ФЗ требует сопоставить встречное исполнение с рыночной стоимостью и условиями аналогичных сделок.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Пункт 1 статьи 61.2 Федерального закона № 127-ФЗ требует сопоставить встречное исполнение с рыночной стоимостью и условиями аналогичных сделок.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отчёт оценщика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документы об объекте оценки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рецензия или альтернативный отчёт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9.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10.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