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206. ВОЗРАЖЕНИЯ РАБОТОДАТЕЛЯ НА РЕШЕНИЕ ИЛИ ТРЕБОВАНИЕ ПРОФСОЮЗНОГО ОРГАНА.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306-к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заявил требование о выплате 427 500 руб. задолженности и компенсации  ссылаясь на неправильный расчет премии и сверхурочных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признает часть требования в размере 48 500 руб., по остальной сумме указывает на отсутствие подтвержденных показателей и дублирование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рассматривают соглашение, предусматривающее выплату бесспорной суммы, отказ от взаимных претензий в урегулированной части и порядок исполнения.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сверку расчетов и документов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выделить бесспорную и спорную части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исполнимые условия урегулирования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последствия соглашения и сроки платежей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неясный предмет урегулирования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отказ от прав, которым работник не может распорядиться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графика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процессуальных сроков во время переговоров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работодателя на решение или требование профсоюзного органа.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