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ХОДАТАЙСТВО О ПРОВЕДЕНИИ ЗАКРЫТОГО СУДЕБНОГО ЗАСЕДАНИЯ</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производстве суда находится дело № [номер]. Заявитель добросовестно раскрыл позицию и просит совершить процессуальное действие, необходимое для полного рассмотрения.</w:t>
      </w:r>
    </w:p>
    <w:p>
      <w:pPr>
        <w:keepNext w:val="0"/>
        <w:spacing w:before="0" w:after="80" w:line="276" w:lineRule="auto"/>
        <w:ind w:firstLine="709"/>
        <w:jc w:val="both"/>
      </w:pPr>
      <w:r>
        <w:rPr>
          <w:rFonts w:ascii="Times New Roman" w:hAnsi="Times New Roman" w:eastAsia="Times New Roman"/>
          <w:b w:val="0"/>
          <w:i w:val="0"/>
          <w:sz w:val="24"/>
        </w:rPr>
        <w:t>Основание ходатайства возникло [дата] и подтверждается приложенными документами. Просьба заявлена при первой возможности и не направлена на затягивание.</w:t>
      </w:r>
    </w:p>
    <w:p>
      <w:pPr>
        <w:keepNext w:val="0"/>
        <w:spacing w:before="0" w:after="80" w:line="276" w:lineRule="auto"/>
        <w:ind w:firstLine="709"/>
        <w:jc w:val="both"/>
      </w:pPr>
      <w:r>
        <w:rPr>
          <w:rFonts w:ascii="Times New Roman" w:hAnsi="Times New Roman" w:eastAsia="Times New Roman"/>
          <w:b w:val="0"/>
          <w:i w:val="0"/>
          <w:sz w:val="24"/>
        </w:rPr>
        <w:t>Заявитель предлагает конкретный порядок исполнения ходатайства и разумный срок.</w:t>
      </w:r>
    </w:p>
    <w:p>
      <w:pPr>
        <w:keepNext w:val="0"/>
        <w:spacing w:before="0" w:after="80" w:line="276" w:lineRule="auto"/>
        <w:ind w:firstLine="709"/>
        <w:jc w:val="both"/>
      </w:pPr>
      <w:r>
        <w:rPr>
          <w:rFonts w:ascii="Times New Roman" w:hAnsi="Times New Roman" w:eastAsia="Times New Roman"/>
          <w:b w:val="0"/>
          <w:i w:val="0"/>
          <w:sz w:val="24"/>
        </w:rPr>
        <w:t>Для документа «Ходатайство о проведении закрытого судебного заседания»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Основание процессуальной просьбы возникло после принятия дела к производству и подтверждается документом с определенной датой. Заявитель сообщает о нем без промедления, раскрывает его другим участникам и предлагает порядок, позволяющий сохранить разумный срок рассмотрения дела.</w:t>
      </w:r>
    </w:p>
    <w:p>
      <w:pPr>
        <w:keepNext w:val="0"/>
        <w:spacing w:before="0" w:after="80" w:line="276" w:lineRule="auto"/>
        <w:ind w:firstLine="709"/>
        <w:jc w:val="both"/>
      </w:pPr>
      <w:r>
        <w:rPr>
          <w:rFonts w:ascii="Times New Roman" w:hAnsi="Times New Roman" w:eastAsia="Times New Roman"/>
          <w:b w:val="0"/>
          <w:i w:val="0"/>
          <w:sz w:val="24"/>
        </w:rPr>
        <w:t>Ходатайство содержит не абстрактную просьбу, а исполнимый алгоритм: какое действие должен совершить суд, в отношении какого лица или материала, в какой срок и каким образом уведомить участников. При наличии альтернативы объясняется, почему выбранный вариант меньше нарушает права другой стороны.</w:t>
      </w:r>
    </w:p>
    <w:p>
      <w:pPr>
        <w:keepNext w:val="0"/>
        <w:spacing w:before="0" w:after="80" w:line="276" w:lineRule="auto"/>
        <w:ind w:firstLine="709"/>
        <w:jc w:val="both"/>
      </w:pPr>
      <w:r>
        <w:rPr>
          <w:rFonts w:ascii="Times New Roman" w:hAnsi="Times New Roman" w:eastAsia="Times New Roman"/>
          <w:b w:val="0"/>
          <w:i w:val="0"/>
          <w:sz w:val="24"/>
        </w:rPr>
        <w:t>Материалы содержат сведения, составляющие коммерческую тайну: технологическую документацию, цены и клиентскую базу. Режим тайны введен локальными актами и договорами о конфиденциальности.</w:t>
      </w:r>
    </w:p>
    <w:p>
      <w:pPr>
        <w:keepNext w:val="0"/>
        <w:spacing w:before="0" w:after="80" w:line="276" w:lineRule="auto"/>
        <w:ind w:firstLine="709"/>
        <w:jc w:val="both"/>
      </w:pPr>
      <w:r>
        <w:rPr>
          <w:rFonts w:ascii="Times New Roman" w:hAnsi="Times New Roman" w:eastAsia="Times New Roman"/>
          <w:b w:val="0"/>
          <w:i w:val="0"/>
          <w:sz w:val="24"/>
        </w:rPr>
        <w:t>Просьба ограничена заседанием или частью материалов, где исследуются защищаемые сведения; принцип гласности ограничивается только в необходимой мере.</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35 и 166 ГПК РФ регулируют заявления и ходатайства.</w:t>
      </w:r>
    </w:p>
    <w:p>
      <w:pPr>
        <w:keepNext w:val="0"/>
        <w:spacing w:before="0" w:after="80" w:line="276" w:lineRule="auto"/>
        <w:ind w:firstLine="709"/>
        <w:jc w:val="both"/>
      </w:pPr>
      <w:r>
        <w:rPr>
          <w:rFonts w:ascii="Times New Roman" w:hAnsi="Times New Roman" w:eastAsia="Times New Roman"/>
          <w:b w:val="0"/>
          <w:i w:val="0"/>
          <w:sz w:val="24"/>
        </w:rPr>
        <w:t>Специальные основания приостановления, прекращения, оставления без рассмотрения, отвода и сроков применяются в зависимости от предмета документа.</w:t>
      </w:r>
    </w:p>
    <w:p>
      <w:pPr>
        <w:keepNext w:val="0"/>
        <w:spacing w:before="0" w:after="80" w:line="276" w:lineRule="auto"/>
        <w:ind w:firstLine="709"/>
        <w:jc w:val="both"/>
      </w:pPr>
      <w:r>
        <w:rPr>
          <w:rFonts w:ascii="Times New Roman" w:hAnsi="Times New Roman" w:eastAsia="Times New Roman"/>
          <w:b w:val="0"/>
          <w:i w:val="0"/>
          <w:sz w:val="24"/>
        </w:rPr>
        <w:t>Ходатайство подлежит рассмотрению с отражением результата в протоколе или определении.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статья 11 АПК РФ либо статья 10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Провести закрытое судебное заседание в части исследования [конкретные документы/сведения].</w:t>
      </w:r>
    </w:p>
    <w:p>
      <w:pPr>
        <w:spacing w:after="60" w:line="276" w:lineRule="auto"/>
        <w:ind w:left="454" w:hanging="454"/>
        <w:jc w:val="both"/>
      </w:pPr>
      <w:r>
        <w:rPr>
          <w:rFonts w:ascii="Times New Roman" w:hAnsi="Times New Roman" w:eastAsia="Times New Roman"/>
          <w:b w:val="0"/>
          <w:i w:val="0"/>
          <w:sz w:val="24"/>
        </w:rPr>
        <w:t>2. Ограничить доступ к соответствующим материалам в пределах, необходимых для защиты охраняемой законом тайны.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Документы о введении режима коммерческой / иной охраняемой тайны.</w:t>
      </w:r>
    </w:p>
    <w:p>
      <w:pPr>
        <w:spacing w:after="60" w:line="276" w:lineRule="auto"/>
        <w:ind w:left="454" w:hanging="454"/>
        <w:jc w:val="both"/>
      </w:pPr>
      <w:r>
        <w:rPr>
          <w:rFonts w:ascii="Times New Roman" w:hAnsi="Times New Roman" w:eastAsia="Times New Roman"/>
          <w:b w:val="0"/>
          <w:i w:val="0"/>
          <w:sz w:val="24"/>
        </w:rPr>
        <w:t>2. Перечень материалов, содержащих защищаемые сведения.</w:t>
      </w:r>
    </w:p>
    <w:p>
      <w:pPr>
        <w:spacing w:after="60" w:line="276" w:lineRule="auto"/>
        <w:ind w:left="454" w:hanging="454"/>
        <w:jc w:val="both"/>
      </w:pPr>
      <w:r>
        <w:rPr>
          <w:rFonts w:ascii="Times New Roman" w:hAnsi="Times New Roman" w:eastAsia="Times New Roman"/>
          <w:b w:val="0"/>
          <w:i w:val="0"/>
          <w:sz w:val="24"/>
        </w:rPr>
        <w:t>3.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4.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 проведении закрытого судебного заседания</dc:title>
  <dc:subject>Подробный образец № 88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