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НАЗНАЧЕНИИ ФИНАНСОВО-ЭКОНОМИЧЕСКОЙ ЭКСПЕРТИЗЫ</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Объясняется необходимость специальных знаний, перечисляются объекты, вопросы, экспертное учреждение, стоимость, срок и порядок оплаты.</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Спор требует определить движение средств, взаимные предоставления и итоговое сальдо по большому массиву операций. Расчеты сторон расходятся из-за различной очередности зачета платежей.</w:t>
      </w:r>
    </w:p>
    <w:p>
      <w:pPr>
        <w:keepNext w:val="0"/>
        <w:spacing w:before="0" w:after="80" w:line="276" w:lineRule="auto"/>
        <w:ind w:firstLine="709"/>
        <w:jc w:val="both"/>
      </w:pPr>
      <w:r>
        <w:rPr>
          <w:rFonts w:ascii="Times New Roman" w:hAnsi="Times New Roman" w:eastAsia="Times New Roman"/>
          <w:b w:val="0"/>
          <w:i w:val="0"/>
          <w:sz w:val="24"/>
        </w:rPr>
        <w:t>Эксперту передаются договоры, регистры, выписки и первичные документы; вопросы ограничены экономическими расчетами и не содержат правовой квалификации.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Эксперту не ставятся вопросы о праве, виновности, действительности сделки или достоверности показаний. Вопросы касаются фактов, требующих специальных знаний, и допускают проверяемый ответ с описанием методики.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82–87 АПК РФ либо статьи 79–87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Назначить финансово-экономическую экспертизу взаиморасчетов сторон.</w:t>
      </w:r>
    </w:p>
    <w:p>
      <w:pPr>
        <w:spacing w:after="60" w:line="276" w:lineRule="auto"/>
        <w:ind w:left="454" w:hanging="454"/>
        <w:jc w:val="both"/>
      </w:pPr>
      <w:r>
        <w:rPr>
          <w:rFonts w:ascii="Times New Roman" w:hAnsi="Times New Roman" w:eastAsia="Times New Roman"/>
          <w:b w:val="0"/>
          <w:i w:val="0"/>
          <w:sz w:val="24"/>
        </w:rPr>
        <w:t>2. Поставить вопросы об объеме перечислений, их отнесении к обязательствам и итоговом сальдо на [дата].</w:t>
      </w:r>
    </w:p>
    <w:p>
      <w:pPr>
        <w:spacing w:after="60" w:line="276" w:lineRule="auto"/>
        <w:ind w:left="454" w:hanging="454"/>
        <w:jc w:val="both"/>
      </w:pPr>
      <w:r>
        <w:rPr>
          <w:rFonts w:ascii="Times New Roman" w:hAnsi="Times New Roman" w:eastAsia="Times New Roman"/>
          <w:b w:val="0"/>
          <w:i w:val="0"/>
          <w:sz w:val="24"/>
        </w:rPr>
        <w:t>3. Передать эксперту перечисленные регистры, выписки и первичные документы, определить оплату.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Проект вопросов эксперту.</w:t>
      </w:r>
    </w:p>
    <w:p>
      <w:pPr>
        <w:spacing w:after="60" w:line="276" w:lineRule="auto"/>
        <w:ind w:left="454" w:hanging="454"/>
        <w:jc w:val="both"/>
      </w:pPr>
      <w:r>
        <w:rPr>
          <w:rFonts w:ascii="Times New Roman" w:hAnsi="Times New Roman" w:eastAsia="Times New Roman"/>
          <w:b w:val="0"/>
          <w:i w:val="0"/>
          <w:sz w:val="24"/>
        </w:rPr>
        <w:t>5. Оригиналы объектов и сравнительные материалы.</w:t>
      </w:r>
    </w:p>
    <w:p>
      <w:pPr>
        <w:spacing w:after="60" w:line="276" w:lineRule="auto"/>
        <w:ind w:left="454" w:hanging="454"/>
        <w:jc w:val="both"/>
      </w:pPr>
      <w:r>
        <w:rPr>
          <w:rFonts w:ascii="Times New Roman" w:hAnsi="Times New Roman" w:eastAsia="Times New Roman"/>
          <w:b w:val="0"/>
          <w:i w:val="0"/>
          <w:sz w:val="24"/>
        </w:rPr>
        <w:t>6. Сведения об экспертном учреждении, сроке, стоимости и согласии провести исследование.</w:t>
      </w:r>
    </w:p>
    <w:p>
      <w:pPr>
        <w:spacing w:after="60" w:line="276" w:lineRule="auto"/>
        <w:ind w:left="454" w:hanging="454"/>
        <w:jc w:val="both"/>
      </w:pPr>
      <w:r>
        <w:rPr>
          <w:rFonts w:ascii="Times New Roman" w:hAnsi="Times New Roman" w:eastAsia="Times New Roman"/>
          <w:b w:val="0"/>
          <w:i w:val="0"/>
          <w:sz w:val="24"/>
        </w:rPr>
        <w:t>7. Документ о внесении средств на депозит — при наличии.</w:t>
      </w:r>
    </w:p>
    <w:p>
      <w:pPr>
        <w:spacing w:after="60" w:line="276" w:lineRule="auto"/>
        <w:ind w:left="454" w:hanging="454"/>
        <w:jc w:val="both"/>
      </w:pPr>
      <w:r>
        <w:rPr>
          <w:rFonts w:ascii="Times New Roman" w:hAnsi="Times New Roman" w:eastAsia="Times New Roman"/>
          <w:b w:val="0"/>
          <w:i w:val="0"/>
          <w:sz w:val="24"/>
        </w:rPr>
        <w:t>8.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9.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назначении финансово-экономической экспертизы</dc:title>
  <dc:subject>Подробный образец № 65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