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НАЗНАЧЕНИИ ТЕХНИЧЕСКОЙ ЭКСПЕРТИЗЫ ДОКУМЕНТОВ</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Объясняется необходимость специальных знаний, перечисляются объекты, вопросы, экспертное учреждение, стоимость, срок и порядок оплаты.</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Требуется установить способ нанесения реквизитов, последовательность подписи и печати, а также наличие монтажа или замены листов. Оригинал документа сохранен.</w:t>
      </w:r>
    </w:p>
    <w:p>
      <w:pPr>
        <w:keepNext w:val="0"/>
        <w:spacing w:before="0" w:after="80" w:line="276" w:lineRule="auto"/>
        <w:ind w:firstLine="709"/>
        <w:jc w:val="both"/>
      </w:pPr>
      <w:r>
        <w:rPr>
          <w:rFonts w:ascii="Times New Roman" w:hAnsi="Times New Roman" w:eastAsia="Times New Roman"/>
          <w:b w:val="0"/>
          <w:i w:val="0"/>
          <w:sz w:val="24"/>
        </w:rPr>
        <w:t>Ходатайство описывает объекты, условия хранения, сравнительные материалы и допустимость возможного частичного повреждения только после позиции эксперта.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Эксперту не ставятся вопросы о праве, виновности, действительности сделки или достоверности показаний. Вопросы касаются фактов, требующих специальных знаний, и допускают проверяемый ответ с описанием методики.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82–87 АПК РФ либо статьи 79–87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Назначить судебно-техническую экспертизу [документ].</w:t>
      </w:r>
    </w:p>
    <w:p>
      <w:pPr>
        <w:spacing w:after="60" w:line="276" w:lineRule="auto"/>
        <w:ind w:left="454" w:hanging="454"/>
        <w:jc w:val="both"/>
      </w:pPr>
      <w:r>
        <w:rPr>
          <w:rFonts w:ascii="Times New Roman" w:hAnsi="Times New Roman" w:eastAsia="Times New Roman"/>
          <w:b w:val="0"/>
          <w:i w:val="0"/>
          <w:sz w:val="24"/>
        </w:rPr>
        <w:t>2. Поставить вопросы о способе изготовления, последовательности нанесения реквизитов, признаках монтажа и давности при допустимости методики.</w:t>
      </w:r>
    </w:p>
    <w:p>
      <w:pPr>
        <w:spacing w:after="60" w:line="276" w:lineRule="auto"/>
        <w:ind w:left="454" w:hanging="454"/>
        <w:jc w:val="both"/>
      </w:pPr>
      <w:r>
        <w:rPr>
          <w:rFonts w:ascii="Times New Roman" w:hAnsi="Times New Roman" w:eastAsia="Times New Roman"/>
          <w:b w:val="0"/>
          <w:i w:val="0"/>
          <w:sz w:val="24"/>
        </w:rPr>
        <w:t>3. Поручить экспертизу [учреждение], определить объекты, срок и оплату.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Проект вопросов эксперту.</w:t>
      </w:r>
    </w:p>
    <w:p>
      <w:pPr>
        <w:spacing w:after="60" w:line="276" w:lineRule="auto"/>
        <w:ind w:left="454" w:hanging="454"/>
        <w:jc w:val="both"/>
      </w:pPr>
      <w:r>
        <w:rPr>
          <w:rFonts w:ascii="Times New Roman" w:hAnsi="Times New Roman" w:eastAsia="Times New Roman"/>
          <w:b w:val="0"/>
          <w:i w:val="0"/>
          <w:sz w:val="24"/>
        </w:rPr>
        <w:t>5. Оригиналы объектов и сравнительные материалы.</w:t>
      </w:r>
    </w:p>
    <w:p>
      <w:pPr>
        <w:spacing w:after="60" w:line="276" w:lineRule="auto"/>
        <w:ind w:left="454" w:hanging="454"/>
        <w:jc w:val="both"/>
      </w:pPr>
      <w:r>
        <w:rPr>
          <w:rFonts w:ascii="Times New Roman" w:hAnsi="Times New Roman" w:eastAsia="Times New Roman"/>
          <w:b w:val="0"/>
          <w:i w:val="0"/>
          <w:sz w:val="24"/>
        </w:rPr>
        <w:t>6. Сведения об экспертном учреждении, сроке, стоимости и согласии провести исследование.</w:t>
      </w:r>
    </w:p>
    <w:p>
      <w:pPr>
        <w:spacing w:after="60" w:line="276" w:lineRule="auto"/>
        <w:ind w:left="454" w:hanging="454"/>
        <w:jc w:val="both"/>
      </w:pPr>
      <w:r>
        <w:rPr>
          <w:rFonts w:ascii="Times New Roman" w:hAnsi="Times New Roman" w:eastAsia="Times New Roman"/>
          <w:b w:val="0"/>
          <w:i w:val="0"/>
          <w:sz w:val="24"/>
        </w:rPr>
        <w:t>7. Документ о внесении средств на депозит — при наличии.</w:t>
      </w:r>
    </w:p>
    <w:p>
      <w:pPr>
        <w:spacing w:after="60" w:line="276" w:lineRule="auto"/>
        <w:ind w:left="454" w:hanging="454"/>
        <w:jc w:val="both"/>
      </w:pPr>
      <w:r>
        <w:rPr>
          <w:rFonts w:ascii="Times New Roman" w:hAnsi="Times New Roman" w:eastAsia="Times New Roman"/>
          <w:b w:val="0"/>
          <w:i w:val="0"/>
          <w:sz w:val="24"/>
        </w:rPr>
        <w:t>8.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9.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назначении технической экспертизы документов</dc:title>
  <dc:subject>Подробный образец № 61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