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 ПРИМЕНЕНИИ СРОКА ИСКОВОЙ ДАВНОСТИ</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По делу № А40-[номер]/2026 истец требует взыскать 1 500 000 руб. долга и 168 000 руб. неустойки. Ответчик получил полный комплект и провел сверку документов.</w:t>
      </w:r>
    </w:p>
    <w:p>
      <w:pPr>
        <w:keepNext w:val="0"/>
        <w:spacing w:before="0" w:after="80" w:line="276" w:lineRule="auto"/>
        <w:ind w:firstLine="709"/>
        <w:jc w:val="both"/>
      </w:pPr>
      <w:r>
        <w:rPr>
          <w:rFonts w:ascii="Times New Roman" w:hAnsi="Times New Roman" w:eastAsia="Times New Roman"/>
          <w:b w:val="0"/>
          <w:i w:val="0"/>
          <w:sz w:val="24"/>
        </w:rPr>
        <w:t>Ответчик указывает, что платеж 300 000 руб. не учтен, а часть товара стоимостью 620 000 руб. имела недостатки, зафиксированные актом и перепиской.</w:t>
      </w:r>
    </w:p>
    <w:p>
      <w:pPr>
        <w:keepNext w:val="0"/>
        <w:spacing w:before="0" w:after="80" w:line="276" w:lineRule="auto"/>
        <w:ind w:firstLine="709"/>
        <w:jc w:val="both"/>
      </w:pPr>
      <w:r>
        <w:rPr>
          <w:rFonts w:ascii="Times New Roman" w:hAnsi="Times New Roman" w:eastAsia="Times New Roman"/>
          <w:b w:val="0"/>
          <w:i w:val="0"/>
          <w:sz w:val="24"/>
        </w:rPr>
        <w:t>Позиция раскрывается по каждому требованию отдельно, с контррасчетом и ссылками на приложения.</w:t>
      </w:r>
    </w:p>
    <w:p>
      <w:pPr>
        <w:keepNext w:val="0"/>
        <w:spacing w:before="0" w:after="80" w:line="276" w:lineRule="auto"/>
        <w:ind w:firstLine="709"/>
        <w:jc w:val="both"/>
      </w:pPr>
      <w:r>
        <w:rPr>
          <w:rFonts w:ascii="Times New Roman" w:hAnsi="Times New Roman" w:eastAsia="Times New Roman"/>
          <w:b w:val="0"/>
          <w:i w:val="0"/>
          <w:sz w:val="24"/>
        </w:rPr>
        <w:t>Указываются дата начала течения, продолжительность, отсутствие оснований приостановления или перерыва и момент обращения в суд.</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Ответчик провел построчную сверку расчета истца и установил, что платеж от 28 мая 2025 года на 300 000 руб. не учтен, а на товар стоимостью 620 000 руб. своевременно составлен акт о недостатках. Эти обстоятельства не означают автоматического отсутствия долга, но требуют определить действительное сальдо и проверить соразмерность дополнительных начислений.</w:t>
      </w:r>
    </w:p>
    <w:p>
      <w:pPr>
        <w:keepNext w:val="0"/>
        <w:spacing w:before="0" w:after="80" w:line="276" w:lineRule="auto"/>
        <w:ind w:firstLine="709"/>
        <w:jc w:val="both"/>
      </w:pPr>
      <w:r>
        <w:rPr>
          <w:rFonts w:ascii="Times New Roman" w:hAnsi="Times New Roman" w:eastAsia="Times New Roman"/>
          <w:b w:val="0"/>
          <w:i w:val="0"/>
          <w:sz w:val="24"/>
        </w:rPr>
        <w:t>Возражения строятся не по принципу полного отрицания, а по каждому юридически значимому обстоятельству: возникновение обязательства, объем исполнения истца, встречное исполнение ответчика, наступление срока, наличие просрочки и размер последствий. Неоспариваемые факты прямо отделяются от спорных.</w:t>
      </w:r>
    </w:p>
    <w:p>
      <w:pPr>
        <w:keepNext w:val="0"/>
        <w:spacing w:before="0" w:after="80" w:line="276" w:lineRule="auto"/>
        <w:ind w:firstLine="709"/>
        <w:jc w:val="both"/>
      </w:pPr>
      <w:r>
        <w:rPr>
          <w:rFonts w:ascii="Times New Roman" w:hAnsi="Times New Roman" w:eastAsia="Times New Roman"/>
          <w:b w:val="0"/>
          <w:i w:val="0"/>
          <w:sz w:val="24"/>
        </w:rPr>
        <w:t>Срок оплаты наступил 16 апреля 2022 года, а иск направлен 20 мая 2026 года. Признание долга, частичные платежи или иные обстоятельства, способные повлиять на течение срока, после указанной даты отсутствуют.</w:t>
      </w:r>
    </w:p>
    <w:p>
      <w:pPr>
        <w:keepNext w:val="0"/>
        <w:spacing w:before="0" w:after="80" w:line="276" w:lineRule="auto"/>
        <w:ind w:firstLine="709"/>
        <w:jc w:val="both"/>
      </w:pPr>
      <w:r>
        <w:rPr>
          <w:rFonts w:ascii="Times New Roman" w:hAnsi="Times New Roman" w:eastAsia="Times New Roman"/>
          <w:b w:val="0"/>
          <w:i w:val="0"/>
          <w:sz w:val="24"/>
        </w:rPr>
        <w:t>Заявление содержит отдельный расчет начальной и конечной даты и просит применить давность только к требованиям, по которым срок действительно истек.</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35, 56 и 57 ГПК РФ регулируют права участников, бремя доказывания и содействие суда.</w:t>
      </w:r>
    </w:p>
    <w:p>
      <w:pPr>
        <w:keepNext w:val="0"/>
        <w:spacing w:before="0" w:after="80" w:line="276" w:lineRule="auto"/>
        <w:ind w:firstLine="709"/>
        <w:jc w:val="both"/>
      </w:pPr>
      <w:r>
        <w:rPr>
          <w:rFonts w:ascii="Times New Roman" w:hAnsi="Times New Roman" w:eastAsia="Times New Roman"/>
          <w:b w:val="0"/>
          <w:i w:val="0"/>
          <w:sz w:val="24"/>
        </w:rPr>
        <w:t>Распорядительные заявления о признании иска проверяются судом на соответствие закону и отсутствие нарушения прав других лиц.</w:t>
      </w:r>
    </w:p>
    <w:p>
      <w:pPr>
        <w:keepNext w:val="0"/>
        <w:spacing w:before="0" w:after="80" w:line="276" w:lineRule="auto"/>
        <w:ind w:firstLine="709"/>
        <w:jc w:val="both"/>
      </w:pPr>
      <w:r>
        <w:rPr>
          <w:rFonts w:ascii="Times New Roman" w:hAnsi="Times New Roman" w:eastAsia="Times New Roman"/>
          <w:b w:val="0"/>
          <w:i w:val="0"/>
          <w:sz w:val="24"/>
        </w:rPr>
        <w:t>Заявление о давности делается стороной до вынесения решения и сопровождается расчетом течения срока.</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 22–24, 28, 131–132 и 137–138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Применить последствия пропуска срока исковой давности / специального срока к требованиям [перечень].</w:t>
      </w:r>
    </w:p>
    <w:p>
      <w:pPr>
        <w:spacing w:after="60" w:line="276" w:lineRule="auto"/>
        <w:ind w:left="454" w:hanging="454"/>
        <w:jc w:val="both"/>
      </w:pPr>
      <w:r>
        <w:rPr>
          <w:rFonts w:ascii="Times New Roman" w:hAnsi="Times New Roman" w:eastAsia="Times New Roman"/>
          <w:b w:val="0"/>
          <w:i w:val="0"/>
          <w:sz w:val="24"/>
        </w:rPr>
        <w:t>2. Отказать в удовлетворении соответствующих требований.</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Копия искового заявления и уточнений.</w:t>
      </w:r>
    </w:p>
    <w:p>
      <w:pPr>
        <w:spacing w:after="60" w:line="276" w:lineRule="auto"/>
        <w:ind w:left="454" w:hanging="454"/>
        <w:jc w:val="both"/>
      </w:pPr>
      <w:r>
        <w:rPr>
          <w:rFonts w:ascii="Times New Roman" w:hAnsi="Times New Roman" w:eastAsia="Times New Roman"/>
          <w:b w:val="0"/>
          <w:i w:val="0"/>
          <w:sz w:val="24"/>
        </w:rPr>
        <w:t>2. Контррасчет с учетом платежей и встречного исполнения.</w:t>
      </w:r>
    </w:p>
    <w:p>
      <w:pPr>
        <w:spacing w:after="60" w:line="276" w:lineRule="auto"/>
        <w:ind w:left="454" w:hanging="454"/>
        <w:jc w:val="both"/>
      </w:pPr>
      <w:r>
        <w:rPr>
          <w:rFonts w:ascii="Times New Roman" w:hAnsi="Times New Roman" w:eastAsia="Times New Roman"/>
          <w:b w:val="0"/>
          <w:i w:val="0"/>
          <w:sz w:val="24"/>
        </w:rPr>
        <w:t>3. Первичные документы и переписка, подтверждающие возражения.</w:t>
      </w:r>
    </w:p>
    <w:p>
      <w:pPr>
        <w:spacing w:after="60" w:line="276" w:lineRule="auto"/>
        <w:ind w:left="454" w:hanging="454"/>
        <w:jc w:val="both"/>
      </w:pPr>
      <w:r>
        <w:rPr>
          <w:rFonts w:ascii="Times New Roman" w:hAnsi="Times New Roman" w:eastAsia="Times New Roman"/>
          <w:b w:val="0"/>
          <w:i w:val="0"/>
          <w:sz w:val="24"/>
        </w:rPr>
        <w:t>4. Документы о сроках, процессуальном статусе или правопреемстве — по предмету заявления.</w:t>
      </w:r>
    </w:p>
    <w:p>
      <w:pPr>
        <w:spacing w:after="60" w:line="276" w:lineRule="auto"/>
        <w:ind w:left="454" w:hanging="454"/>
        <w:jc w:val="both"/>
      </w:pPr>
      <w:r>
        <w:rPr>
          <w:rFonts w:ascii="Times New Roman" w:hAnsi="Times New Roman" w:eastAsia="Times New Roman"/>
          <w:b w:val="0"/>
          <w:i w:val="0"/>
          <w:sz w:val="24"/>
        </w:rPr>
        <w:t>5.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6.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 применении срока исковой давности</dc:title>
  <dc:subject>Подробный образец № 44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