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ЗАМЕНЕ НЕНАДЛЕЖАЩЕГО ОТВЕТЧИКА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замене ненадлежащего ответчика»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После получения выписки и договора установлено, что имущество принадлежит другому лицу, а первоначальный ответчик не обладает спорной обязанностью. Истец согласен на замену и представляет сведения о надлежащем ответчике.</w:t>
      </w:r>
    </w:p>
    <w:p>
      <w:pPr>
        <w:keepNext w:val="0"/>
        <w:spacing w:before="0" w:after="80" w:line="276" w:lineRule="auto"/>
        <w:ind w:firstLine="709"/>
        <w:jc w:val="both"/>
      </w:pPr>
      <w:r>
        <w:rPr>
          <w:rFonts w:ascii="Times New Roman" w:hAnsi="Times New Roman" w:eastAsia="Times New Roman"/>
          <w:b w:val="0"/>
          <w:i w:val="0"/>
          <w:sz w:val="24"/>
        </w:rPr>
        <w:t>Ходатайство подано без изменения существа требования и содержит просьбу заново определить процессуальные сроки, необходимые новому участнику.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Заменить первоначального ответчика [лицо] надлежащим ответчиком [лицо].</w:t>
      </w:r>
    </w:p>
    <w:p>
      <w:pPr>
        <w:spacing w:after="60" w:line="276" w:lineRule="auto"/>
        <w:ind w:left="454" w:hanging="454"/>
        <w:jc w:val="both"/>
      </w:pPr>
      <w:r>
        <w:rPr>
          <w:rFonts w:ascii="Times New Roman" w:hAnsi="Times New Roman" w:eastAsia="Times New Roman"/>
          <w:b w:val="0"/>
          <w:i w:val="0"/>
          <w:sz w:val="24"/>
        </w:rPr>
        <w:t>2. Направить новому ответчику материалы и предоставить срок для отзыва.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замене ненадлежащего ответчика</dc:title>
  <dc:subject>Подробный образец № 43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