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ДОПОЛНИТЕЛЬНЫЙ ОТЗЫВ НА ИСКОВОЕ ЗАЯВЛЕНИЕ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«Дополнительный отзыв на исковое заявление»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После первоначального отзыва истец представил новые УПД и уточненный расчет. Ответчик получил их 8 июля 2026 года, провел сверку и выявил повторное включение одной партии и неучтенный платеж.</w:t>
      </w:r>
    </w:p>
    <w:p>
      <w:pPr>
        <w:keepNext w:val="0"/>
        <w:spacing w:before="0" w:after="80" w:line="276" w:lineRule="auto"/>
        <w:ind w:firstLine="709"/>
        <w:jc w:val="both"/>
      </w:pPr>
      <w:r>
        <w:rPr>
          <w:rFonts w:ascii="Times New Roman" w:hAnsi="Times New Roman" w:eastAsia="Times New Roman"/>
          <w:b w:val="0"/>
          <w:i w:val="0"/>
          <w:sz w:val="24"/>
        </w:rPr>
        <w:t>Дополнительный отзыв ограничен новыми материалами, не повторяет ранее изложенную позицию и содержит построчный контррасчет.</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Дополнительный отзыв на исковое заявление</dc:title>
  <dc:subject>Подробный образец № 33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