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ВОЗРАЖЕНИЯ ПРОТИВ ПЕРЕДАЧИ ДЕЛА В ДРУГОЙ СУД</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основе спора лежит договор поставки № 15/П-2025. Истец передал товар на 2 480 000 руб., ответчик оплатил только 980 000 руб.; долг 1 500 000 руб.</w:t>
      </w:r>
    </w:p>
    <w:p>
      <w:pPr>
        <w:keepNext w:val="0"/>
        <w:spacing w:before="0" w:after="80" w:line="276" w:lineRule="auto"/>
        <w:ind w:firstLine="709"/>
        <w:jc w:val="both"/>
      </w:pPr>
      <w:r>
        <w:rPr>
          <w:rFonts w:ascii="Times New Roman" w:hAnsi="Times New Roman" w:eastAsia="Times New Roman"/>
          <w:b w:val="0"/>
          <w:i w:val="0"/>
          <w:sz w:val="24"/>
        </w:rPr>
        <w:t>Претензия от 10 июля 2025 года получена 15 июля 2025 года. В предусмотренный договором срок долг не погашен, мотивированный ответ и контррасчет не представлены.</w:t>
      </w:r>
    </w:p>
    <w:p>
      <w:pPr>
        <w:keepNext w:val="0"/>
        <w:spacing w:before="0" w:after="80" w:line="276" w:lineRule="auto"/>
        <w:ind w:firstLine="709"/>
        <w:jc w:val="both"/>
      </w:pPr>
      <w:r>
        <w:rPr>
          <w:rFonts w:ascii="Times New Roman" w:hAnsi="Times New Roman" w:eastAsia="Times New Roman"/>
          <w:b w:val="0"/>
          <w:i w:val="0"/>
          <w:sz w:val="24"/>
        </w:rPr>
        <w:t>До обращения проверены подсудность, срок исковой давности, цена иска, государственная пошлина, полномочия и направление копий участникам.</w:t>
      </w:r>
    </w:p>
    <w:p>
      <w:pPr>
        <w:keepNext w:val="0"/>
        <w:spacing w:before="0" w:after="80" w:line="276" w:lineRule="auto"/>
        <w:ind w:firstLine="709"/>
        <w:jc w:val="both"/>
      </w:pPr>
      <w:r>
        <w:rPr>
          <w:rFonts w:ascii="Times New Roman" w:hAnsi="Times New Roman" w:eastAsia="Times New Roman"/>
          <w:b w:val="0"/>
          <w:i w:val="0"/>
          <w:sz w:val="24"/>
        </w:rPr>
        <w:t>Для документа «Возражения против передачи дела в другой суд»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До обращения в суд истец проверил, имеется ли вступивший в силу судебный акт по тождественному спору, соглашение о подсудности или третейская оговорка, а также не возбуждено ли дело о банкротстве, влияющее на порядок предъявления требования. В иске отдельно раскрывается, почему спор относится именно к выбранному суду.</w:t>
      </w:r>
    </w:p>
    <w:p>
      <w:pPr>
        <w:keepNext w:val="0"/>
        <w:spacing w:before="0" w:after="80" w:line="276" w:lineRule="auto"/>
        <w:ind w:firstLine="709"/>
        <w:jc w:val="both"/>
      </w:pPr>
      <w:r>
        <w:rPr>
          <w:rFonts w:ascii="Times New Roman" w:hAnsi="Times New Roman" w:eastAsia="Times New Roman"/>
          <w:b w:val="0"/>
          <w:i w:val="0"/>
          <w:sz w:val="24"/>
        </w:rPr>
        <w:t>Цена иска формируется из самостоятельных элементов: основной долг, договорная неустойка, проценты, убытки и иные суммы. Каждый элемент имеет отдельное основание и расчет; судебные расходы в цену иска не включаются, если закон не предусматривает иное.</w:t>
      </w:r>
    </w:p>
    <w:p>
      <w:pPr>
        <w:keepNext w:val="0"/>
        <w:spacing w:before="0" w:after="80" w:line="276" w:lineRule="auto"/>
        <w:ind w:firstLine="709"/>
        <w:jc w:val="both"/>
      </w:pPr>
      <w:r>
        <w:rPr>
          <w:rFonts w:ascii="Times New Roman" w:hAnsi="Times New Roman" w:eastAsia="Times New Roman"/>
          <w:b w:val="0"/>
          <w:i w:val="0"/>
          <w:sz w:val="24"/>
        </w:rPr>
        <w:t>Ответчик просит передать дело по месту своей регистрации, не учитывая действующее условие договора о подсудности и место исполнения обязательства. Соглашение заключено до принятия иска и охватывает данный спор.</w:t>
      </w:r>
    </w:p>
    <w:p>
      <w:pPr>
        <w:keepNext w:val="0"/>
        <w:spacing w:before="0" w:after="80" w:line="276" w:lineRule="auto"/>
        <w:ind w:firstLine="709"/>
        <w:jc w:val="both"/>
      </w:pPr>
      <w:r>
        <w:rPr>
          <w:rFonts w:ascii="Times New Roman" w:hAnsi="Times New Roman" w:eastAsia="Times New Roman"/>
          <w:b w:val="0"/>
          <w:i w:val="0"/>
          <w:sz w:val="24"/>
        </w:rPr>
        <w:t>Передача приведет к необоснованной смене суда, хотя дело принято с соблюдением правил подсудности. Возражения содержат текст условия и документы о месте исполнения.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 22–24, 28, 131 и 132 ГПК РФ регулируют право на обращение, подсудность,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иск к производству.</w:t>
      </w:r>
    </w:p>
    <w:p>
      <w:pPr>
        <w:spacing w:after="60" w:line="276" w:lineRule="auto"/>
        <w:ind w:left="454" w:hanging="454"/>
        <w:jc w:val="both"/>
      </w:pPr>
      <w:r>
        <w:rPr>
          <w:rFonts w:ascii="Times New Roman" w:hAnsi="Times New Roman" w:eastAsia="Times New Roman"/>
          <w:b w:val="0"/>
          <w:i w:val="0"/>
          <w:sz w:val="24"/>
        </w:rPr>
        <w:t>2. Удовлетворить требования в точной сумме и формулировке.</w:t>
      </w:r>
    </w:p>
    <w:p>
      <w:pPr>
        <w:spacing w:after="60" w:line="276" w:lineRule="auto"/>
        <w:ind w:left="454" w:hanging="454"/>
        <w:jc w:val="both"/>
      </w:pPr>
      <w:r>
        <w:rPr>
          <w:rFonts w:ascii="Times New Roman" w:hAnsi="Times New Roman" w:eastAsia="Times New Roman"/>
          <w:b w:val="0"/>
          <w:i w:val="0"/>
          <w:sz w:val="24"/>
        </w:rPr>
        <w:t>3. Взыскать пошлину и подтвержденные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Возражения против передачи дела в другой суд</dc:title>
  <dc:subject>Подробный образец № 28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