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ИЗМЕНЕНИИ ОСНОВАНИЯ ИСКА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Предмет требования сохраняется, но уточняются фактические обстоятельства, на которых оно основано; новая правовая квалификация сама по себе не всегда означает изменение основания.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Требование о взыскании 1 500 000 руб. сохраняется, однако после истребования банковских документов уточнено, что задолженность возникла не из неоплаченной второй партии, а из возврата ошибочно зачтенного платежа по первой партии.</w:t>
      </w:r>
    </w:p>
    <w:p>
      <w:pPr>
        <w:keepNext w:val="0"/>
        <w:spacing w:before="0" w:after="80" w:line="276" w:lineRule="auto"/>
        <w:ind w:firstLine="709"/>
        <w:jc w:val="both"/>
      </w:pPr>
      <w:r>
        <w:rPr>
          <w:rFonts w:ascii="Times New Roman" w:hAnsi="Times New Roman" w:eastAsia="Times New Roman"/>
          <w:b w:val="0"/>
          <w:i w:val="0"/>
          <w:sz w:val="24"/>
        </w:rPr>
        <w:t>Истец приводит новую фактическую последовательность и приложения, не изменяя сам способ защиты. Документ объясняет, почему уточнение не образует полностью новый иск.</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заявленное изменение исковых требований.</w:t>
      </w:r>
    </w:p>
    <w:p>
      <w:pPr>
        <w:spacing w:after="60" w:line="276" w:lineRule="auto"/>
        <w:ind w:left="454" w:hanging="454"/>
        <w:jc w:val="both"/>
      </w:pPr>
      <w:r>
        <w:rPr>
          <w:rFonts w:ascii="Times New Roman" w:hAnsi="Times New Roman" w:eastAsia="Times New Roman"/>
          <w:b w:val="0"/>
          <w:i w:val="0"/>
          <w:sz w:val="24"/>
        </w:rPr>
        <w:t>2. Рассматривать дело с учетом уточненной просительной части и расчета.</w:t>
      </w:r>
    </w:p>
    <w:p>
      <w:pPr>
        <w:spacing w:after="60" w:line="276" w:lineRule="auto"/>
        <w:ind w:left="454" w:hanging="454"/>
        <w:jc w:val="both"/>
      </w:pPr>
      <w:r>
        <w:rPr>
          <w:rFonts w:ascii="Times New Roman" w:hAnsi="Times New Roman" w:eastAsia="Times New Roman"/>
          <w:b w:val="0"/>
          <w:i w:val="0"/>
          <w:sz w:val="24"/>
        </w:rPr>
        <w:t>3. Предоставить оппоненту возможность представить возражения.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изменении основания иска</dc:title>
  <dc:subject>Подробный образец № 22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