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НЕУСТОЙКИ ПО ДОГОВОРУ ПОСТАВКИ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Расчет неустойки должен содержать договорное условие, базу начисления, ставку, начальную и конечную даты, частичные платежи и установленный договором предел.</w:t>
      </w:r>
    </w:p>
    <w:p>
      <w:pPr>
        <w:keepNext w:val="0"/>
        <w:spacing w:before="0" w:after="80" w:line="276" w:lineRule="auto"/>
        <w:ind w:firstLine="709"/>
        <w:jc w:val="both"/>
      </w:pPr>
      <w:r>
        <w:rPr>
          <w:rFonts w:ascii="Times New Roman" w:hAnsi="Times New Roman" w:eastAsia="Times New Roman"/>
          <w:b w:val="0"/>
          <w:i w:val="0"/>
          <w:sz w:val="24"/>
        </w:rPr>
        <w:t>Указываются спецификация, передача товара, приемка, сроки оплаты, замечания по качеству и претензионный порядок.</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Договор предусматривает пеню 0,05 процента от просроченной суммы за каждый день, но не более 10 процентов цены неоплаченной партии. Неустойка рассчитана с 17 апреля по 30 сентября 2025 года с учетом платежа 300 000 руб. от 28 мая 2025 года.</w:t>
      </w:r>
    </w:p>
    <w:p>
      <w:pPr>
        <w:keepNext w:val="0"/>
        <w:spacing w:before="0" w:after="80" w:line="276" w:lineRule="auto"/>
        <w:ind w:firstLine="709"/>
        <w:jc w:val="both"/>
      </w:pPr>
      <w:r>
        <w:rPr>
          <w:rFonts w:ascii="Times New Roman" w:hAnsi="Times New Roman" w:eastAsia="Times New Roman"/>
          <w:b w:val="0"/>
          <w:i w:val="0"/>
          <w:sz w:val="24"/>
        </w:rPr>
        <w:t>Расчет приложен в табличной форме по периодам. Истец отделяет договорную неустойку от процентов по статье 395 ГК РФ и не допускает двойной ответственности за один и тот же период и одно нарушение.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330–333 ГК РФ, статьи 506, 516, 518 и 521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договорную неустойку за период с [дата] по [дата] в размере [сумма] руб.</w:t>
      </w:r>
    </w:p>
    <w:p>
      <w:pPr>
        <w:spacing w:after="60" w:line="276" w:lineRule="auto"/>
        <w:ind w:left="454" w:hanging="454"/>
        <w:jc w:val="both"/>
      </w:pPr>
      <w:r>
        <w:rPr>
          <w:rFonts w:ascii="Times New Roman" w:hAnsi="Times New Roman" w:eastAsia="Times New Roman"/>
          <w:b w:val="0"/>
          <w:i w:val="0"/>
          <w:sz w:val="24"/>
        </w:rPr>
        <w:t>2. При заявлении начисления по день исполнения — указать допустимую формулу и предел.</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неустойки по договору поставки</dc:title>
  <dc:subject>Подробный образец № 186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