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ОТЗЫВ НА КАССАЦИОННУЮ ЖАЛОБУ, ПОДАННУЮ В ВЕРХОВНЫЙ СУД РФ</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Кассация сосредоточена на существенных нарушениях права и не должна превращаться в просьбу заново оценить доказательства.</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Кассатор пытается заново спорить с оценкой доказательств, не указывая существенного нарушения права.</w:t>
      </w:r>
    </w:p>
    <w:p>
      <w:pPr>
        <w:keepNext w:val="0"/>
        <w:spacing w:before="0" w:after="80" w:line="276" w:lineRule="auto"/>
        <w:ind w:firstLine="709"/>
        <w:jc w:val="both"/>
      </w:pPr>
      <w:r>
        <w:rPr>
          <w:rFonts w:ascii="Times New Roman" w:hAnsi="Times New Roman" w:eastAsia="Times New Roman"/>
          <w:b w:val="0"/>
          <w:i w:val="0"/>
          <w:sz w:val="24"/>
        </w:rPr>
        <w:t>Отзыв показывает соответствие выводов установленным фактам и пределам кассационной проверки.</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Главы 39, 41 и 41.1 ГПК РФ регулируют апелляцию, кассацию и надзор.</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раздел IV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главы 35 и 36.1 АПК РФ либо главы 41 и 41.1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Оставить обжалуемый судебный акт без изменения.</w:t>
      </w:r>
    </w:p>
    <w:p>
      <w:pPr>
        <w:spacing w:after="60" w:line="276" w:lineRule="auto"/>
        <w:ind w:left="454" w:hanging="454"/>
        <w:jc w:val="both"/>
      </w:pPr>
      <w:r>
        <w:rPr>
          <w:rFonts w:ascii="Times New Roman" w:hAnsi="Times New Roman" w:eastAsia="Times New Roman"/>
          <w:b w:val="0"/>
          <w:i w:val="0"/>
          <w:sz w:val="24"/>
        </w:rPr>
        <w:t>2. Жалобу — без удовлетворения.</w:t>
      </w:r>
    </w:p>
    <w:p>
      <w:pPr>
        <w:spacing w:after="60" w:line="276" w:lineRule="auto"/>
        <w:ind w:left="454" w:hanging="454"/>
        <w:jc w:val="both"/>
      </w:pPr>
      <w:r>
        <w:rPr>
          <w:rFonts w:ascii="Times New Roman" w:hAnsi="Times New Roman" w:eastAsia="Times New Roman"/>
          <w:b w:val="0"/>
          <w:i w:val="0"/>
          <w:sz w:val="24"/>
        </w:rPr>
        <w:t>3. Взыскать подтвержденные расходы на рассмотрение жалобы, если имеются основания.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Копии обжалуемых судебных актов.</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соблюдения срока.</w:t>
      </w:r>
    </w:p>
    <w:p>
      <w:pPr>
        <w:spacing w:after="60" w:line="276" w:lineRule="auto"/>
        <w:ind w:left="454" w:hanging="454"/>
        <w:jc w:val="both"/>
      </w:pPr>
      <w:r>
        <w:rPr>
          <w:rFonts w:ascii="Times New Roman" w:hAnsi="Times New Roman" w:eastAsia="Times New Roman"/>
          <w:b w:val="0"/>
          <w:i w:val="0"/>
          <w:sz w:val="24"/>
        </w:rPr>
        <w:t>3. Документы об уплате пошлины / льготе, если требуется.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жалобы и отсутствующих приложений участникам.</w:t>
      </w:r>
    </w:p>
    <w:p>
      <w:pPr>
        <w:spacing w:after="60" w:line="276" w:lineRule="auto"/>
        <w:ind w:left="454" w:hanging="454"/>
        <w:jc w:val="both"/>
      </w:pPr>
      <w:r>
        <w:rPr>
          <w:rFonts w:ascii="Times New Roman" w:hAnsi="Times New Roman" w:eastAsia="Times New Roman"/>
          <w:b w:val="0"/>
          <w:i w:val="0"/>
          <w:sz w:val="24"/>
        </w:rPr>
        <w:t>5. Новые доказательства и документы об объективной невозможности представить их ранее — для апелляции, если заявляются.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Отзыв на кассационную жалобу, поданную в Верховный Суд РФ</dc:title>
  <dc:subject>Подробный образец № 169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