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ХОДАТАЙСТВО О ПРИОСТАНОВЛЕНИИ ИСПОЛНЕНИЯ СУДЕБНОГО АКТА В КАССАЦИИ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Указывается конкретное другое производство или событие, без разрешения которого объективно невозможно рассмотреть дело.</w:t>
      </w:r>
    </w:p>
    <w:p>
      <w:pPr>
        <w:keepNext w:val="0"/>
        <w:spacing w:before="0" w:after="80" w:line="276" w:lineRule="auto"/>
        <w:ind w:firstLine="709"/>
        <w:jc w:val="both"/>
      </w:pPr>
      <w:r>
        <w:rPr>
          <w:rFonts w:ascii="Times New Roman" w:hAnsi="Times New Roman" w:eastAsia="Times New Roman"/>
          <w:b w:val="0"/>
          <w:i w:val="0"/>
          <w:sz w:val="24"/>
        </w:rPr>
        <w:t>Кассация сосредоточена на существенных нарушениях права и не должна превращаться в просьбу заново оценить доказательства.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Исполнение до рассмотрения жалобы создаст риск невозможности поворота, например отчуждение индивидуального имущества или перечисление средств лицу без активов.</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обеспечение и подтверждает реальность кассационного производства и риска.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раздел IV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главы 35 и 36.1 АПК РФ либо главы 41 и 41.1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Приостановить исполнение обжалуемых судебных актов до окончания кассационного производства.</w:t>
      </w:r>
    </w:p>
    <w:p>
      <w:pPr>
        <w:spacing w:after="60" w:line="276" w:lineRule="auto"/>
        <w:ind w:left="454" w:hanging="454"/>
        <w:jc w:val="both"/>
      </w:pPr>
      <w:r>
        <w:rPr>
          <w:rFonts w:ascii="Times New Roman" w:hAnsi="Times New Roman" w:eastAsia="Times New Roman"/>
          <w:b w:val="0"/>
          <w:i w:val="0"/>
          <w:sz w:val="24"/>
        </w:rPr>
        <w:t>2. Принять предложенное встречное обеспечение / обеспечение поворота 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приостановлении исполнения судебного акта в кассации</dc:title>
  <dc:subject>Подробный образец № 166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